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B0F" w:rsidRDefault="00593B0F">
      <w:pPr>
        <w:adjustRightInd w:val="0"/>
        <w:snapToGrid w:val="0"/>
        <w:spacing w:line="360" w:lineRule="auto"/>
        <w:jc w:val="center"/>
        <w:rPr>
          <w:rFonts w:ascii="宋体" w:hAnsi="宋体"/>
          <w:b/>
          <w:sz w:val="44"/>
          <w:szCs w:val="44"/>
          <w:u w:val="single"/>
        </w:rPr>
      </w:pPr>
    </w:p>
    <w:p w:rsidR="00593B0F" w:rsidRDefault="00593B0F">
      <w:pPr>
        <w:adjustRightInd w:val="0"/>
        <w:snapToGrid w:val="0"/>
        <w:spacing w:line="360" w:lineRule="auto"/>
        <w:jc w:val="center"/>
        <w:rPr>
          <w:rFonts w:ascii="宋体" w:hAnsi="宋体"/>
          <w:b/>
          <w:sz w:val="44"/>
          <w:szCs w:val="44"/>
          <w:u w:val="single"/>
        </w:rPr>
      </w:pPr>
    </w:p>
    <w:p w:rsidR="00593B0F" w:rsidRDefault="00593B0F">
      <w:pPr>
        <w:adjustRightInd w:val="0"/>
        <w:snapToGrid w:val="0"/>
        <w:spacing w:line="360" w:lineRule="auto"/>
        <w:jc w:val="center"/>
        <w:rPr>
          <w:rFonts w:ascii="宋体" w:hAnsi="宋体"/>
          <w:b/>
          <w:sz w:val="44"/>
          <w:szCs w:val="44"/>
          <w:u w:val="single"/>
        </w:rPr>
      </w:pPr>
    </w:p>
    <w:p w:rsidR="00593B0F" w:rsidRDefault="00593B0F">
      <w:pPr>
        <w:adjustRightInd w:val="0"/>
        <w:snapToGrid w:val="0"/>
        <w:spacing w:line="360" w:lineRule="auto"/>
        <w:jc w:val="center"/>
        <w:rPr>
          <w:rFonts w:ascii="宋体" w:hAnsi="宋体"/>
          <w:b/>
          <w:sz w:val="44"/>
          <w:szCs w:val="44"/>
          <w:u w:val="single"/>
        </w:rPr>
      </w:pPr>
    </w:p>
    <w:p w:rsidR="00593B0F" w:rsidRDefault="00E31212">
      <w:pPr>
        <w:adjustRightInd w:val="0"/>
        <w:snapToGrid w:val="0"/>
        <w:spacing w:line="360" w:lineRule="auto"/>
        <w:jc w:val="center"/>
        <w:rPr>
          <w:rFonts w:ascii="华文中宋" w:eastAsia="华文中宋" w:hAnsi="华文中宋" w:cs="华文中宋"/>
          <w:b/>
          <w:sz w:val="52"/>
          <w:szCs w:val="84"/>
        </w:rPr>
      </w:pPr>
      <w:r>
        <w:rPr>
          <w:rFonts w:ascii="华文中宋" w:eastAsia="华文中宋" w:hAnsi="华文中宋" w:cs="华文中宋" w:hint="eastAsia"/>
          <w:b/>
          <w:sz w:val="52"/>
          <w:szCs w:val="84"/>
        </w:rPr>
        <w:t>安徽大学2019年部门预算</w:t>
      </w:r>
    </w:p>
    <w:p w:rsidR="00593B0F" w:rsidRDefault="00593B0F">
      <w:pPr>
        <w:pStyle w:val="a5"/>
        <w:adjustRightInd w:val="0"/>
        <w:snapToGrid w:val="0"/>
        <w:spacing w:before="0" w:beforeAutospacing="0" w:after="0" w:afterAutospacing="0" w:line="360" w:lineRule="auto"/>
        <w:jc w:val="center"/>
        <w:rPr>
          <w:rFonts w:ascii="黑体" w:eastAsia="黑体" w:hAnsi="黑体"/>
          <w:bCs/>
          <w:sz w:val="36"/>
          <w:szCs w:val="36"/>
        </w:rPr>
      </w:pPr>
    </w:p>
    <w:p w:rsidR="00593B0F" w:rsidRDefault="00593B0F">
      <w:pPr>
        <w:pStyle w:val="a5"/>
        <w:adjustRightInd w:val="0"/>
        <w:snapToGrid w:val="0"/>
        <w:spacing w:before="0" w:beforeAutospacing="0" w:after="0" w:afterAutospacing="0" w:line="360" w:lineRule="auto"/>
        <w:jc w:val="center"/>
        <w:rPr>
          <w:rFonts w:ascii="黑体" w:eastAsia="黑体" w:hAnsi="黑体"/>
          <w:bCs/>
          <w:sz w:val="36"/>
          <w:szCs w:val="36"/>
        </w:rPr>
      </w:pPr>
    </w:p>
    <w:p w:rsidR="00593B0F" w:rsidRDefault="00593B0F">
      <w:pPr>
        <w:pStyle w:val="a5"/>
        <w:adjustRightInd w:val="0"/>
        <w:snapToGrid w:val="0"/>
        <w:spacing w:before="0" w:beforeAutospacing="0" w:after="0" w:afterAutospacing="0" w:line="360" w:lineRule="auto"/>
        <w:jc w:val="center"/>
        <w:rPr>
          <w:rFonts w:ascii="黑体" w:eastAsia="黑体" w:hAnsi="黑体"/>
          <w:bCs/>
          <w:sz w:val="36"/>
          <w:szCs w:val="36"/>
        </w:rPr>
      </w:pPr>
    </w:p>
    <w:p w:rsidR="00593B0F" w:rsidRDefault="00593B0F">
      <w:pPr>
        <w:pStyle w:val="a5"/>
        <w:adjustRightInd w:val="0"/>
        <w:snapToGrid w:val="0"/>
        <w:spacing w:before="0" w:beforeAutospacing="0" w:after="0" w:afterAutospacing="0" w:line="360" w:lineRule="auto"/>
        <w:jc w:val="center"/>
        <w:rPr>
          <w:rFonts w:ascii="黑体" w:eastAsia="黑体" w:hAnsi="黑体"/>
          <w:bCs/>
          <w:sz w:val="36"/>
          <w:szCs w:val="36"/>
        </w:rPr>
      </w:pPr>
    </w:p>
    <w:p w:rsidR="00593B0F" w:rsidRDefault="00593B0F">
      <w:pPr>
        <w:pStyle w:val="a5"/>
        <w:adjustRightInd w:val="0"/>
        <w:snapToGrid w:val="0"/>
        <w:spacing w:before="0" w:beforeAutospacing="0" w:after="0" w:afterAutospacing="0" w:line="360" w:lineRule="auto"/>
        <w:jc w:val="center"/>
        <w:rPr>
          <w:rFonts w:ascii="黑体" w:eastAsia="黑体" w:hAnsi="黑体"/>
          <w:bCs/>
          <w:sz w:val="36"/>
          <w:szCs w:val="36"/>
        </w:rPr>
      </w:pPr>
    </w:p>
    <w:p w:rsidR="00593B0F" w:rsidRDefault="00593B0F">
      <w:pPr>
        <w:pStyle w:val="a5"/>
        <w:adjustRightInd w:val="0"/>
        <w:snapToGrid w:val="0"/>
        <w:spacing w:before="0" w:beforeAutospacing="0" w:after="0" w:afterAutospacing="0" w:line="360" w:lineRule="auto"/>
        <w:jc w:val="center"/>
        <w:rPr>
          <w:rFonts w:ascii="黑体" w:eastAsia="黑体" w:hAnsi="黑体"/>
          <w:bCs/>
          <w:sz w:val="36"/>
          <w:szCs w:val="36"/>
        </w:rPr>
      </w:pPr>
    </w:p>
    <w:p w:rsidR="00593B0F" w:rsidRDefault="00593B0F">
      <w:pPr>
        <w:pStyle w:val="a5"/>
        <w:adjustRightInd w:val="0"/>
        <w:snapToGrid w:val="0"/>
        <w:spacing w:before="0" w:beforeAutospacing="0" w:after="0" w:afterAutospacing="0" w:line="360" w:lineRule="auto"/>
        <w:jc w:val="center"/>
        <w:rPr>
          <w:rFonts w:ascii="黑体" w:eastAsia="黑体" w:hAnsi="黑体"/>
          <w:bCs/>
          <w:sz w:val="36"/>
          <w:szCs w:val="36"/>
        </w:rPr>
      </w:pPr>
    </w:p>
    <w:p w:rsidR="00593B0F" w:rsidRDefault="00593B0F">
      <w:pPr>
        <w:pStyle w:val="a5"/>
        <w:adjustRightInd w:val="0"/>
        <w:snapToGrid w:val="0"/>
        <w:spacing w:before="0" w:beforeAutospacing="0" w:after="0" w:afterAutospacing="0" w:line="360" w:lineRule="auto"/>
        <w:jc w:val="center"/>
        <w:rPr>
          <w:rFonts w:ascii="黑体" w:eastAsia="黑体" w:hAnsi="黑体"/>
          <w:bCs/>
          <w:sz w:val="36"/>
          <w:szCs w:val="36"/>
        </w:rPr>
      </w:pPr>
    </w:p>
    <w:p w:rsidR="00593B0F" w:rsidRDefault="00593B0F">
      <w:pPr>
        <w:pStyle w:val="a5"/>
        <w:adjustRightInd w:val="0"/>
        <w:snapToGrid w:val="0"/>
        <w:spacing w:before="0" w:beforeAutospacing="0" w:after="0" w:afterAutospacing="0" w:line="360" w:lineRule="auto"/>
        <w:jc w:val="center"/>
        <w:rPr>
          <w:rFonts w:ascii="黑体" w:eastAsia="黑体" w:hAnsi="黑体"/>
          <w:bCs/>
          <w:sz w:val="36"/>
          <w:szCs w:val="36"/>
        </w:rPr>
      </w:pPr>
    </w:p>
    <w:p w:rsidR="00593B0F" w:rsidRDefault="00593B0F">
      <w:pPr>
        <w:pStyle w:val="a5"/>
        <w:adjustRightInd w:val="0"/>
        <w:snapToGrid w:val="0"/>
        <w:spacing w:before="0" w:beforeAutospacing="0" w:after="0" w:afterAutospacing="0" w:line="360" w:lineRule="auto"/>
        <w:jc w:val="center"/>
        <w:rPr>
          <w:rFonts w:ascii="黑体" w:eastAsia="黑体" w:hAnsi="黑体"/>
          <w:bCs/>
          <w:sz w:val="36"/>
          <w:szCs w:val="36"/>
        </w:rPr>
      </w:pPr>
    </w:p>
    <w:p w:rsidR="00593B0F" w:rsidRDefault="00E31212">
      <w:pPr>
        <w:pStyle w:val="a5"/>
        <w:adjustRightInd w:val="0"/>
        <w:snapToGrid w:val="0"/>
        <w:spacing w:before="0" w:beforeAutospacing="0" w:after="0" w:afterAutospacing="0" w:line="360" w:lineRule="auto"/>
        <w:jc w:val="center"/>
        <w:rPr>
          <w:rFonts w:ascii="黑体" w:eastAsia="黑体" w:hAnsi="黑体"/>
          <w:bCs/>
          <w:sz w:val="44"/>
          <w:szCs w:val="44"/>
        </w:rPr>
      </w:pPr>
      <w:r>
        <w:rPr>
          <w:rFonts w:ascii="黑体" w:eastAsia="黑体" w:hAnsi="黑体" w:hint="eastAsia"/>
          <w:bCs/>
          <w:sz w:val="44"/>
          <w:szCs w:val="44"/>
        </w:rPr>
        <w:t>2019年4月</w:t>
      </w:r>
    </w:p>
    <w:p w:rsidR="00593B0F" w:rsidRDefault="00E31212">
      <w:pPr>
        <w:pStyle w:val="a5"/>
        <w:adjustRightInd w:val="0"/>
        <w:snapToGrid w:val="0"/>
        <w:spacing w:before="0" w:beforeAutospacing="0" w:after="0" w:afterAutospacing="0" w:line="360" w:lineRule="auto"/>
        <w:jc w:val="center"/>
        <w:rPr>
          <w:rFonts w:ascii="黑体" w:eastAsia="黑体" w:hAnsi="黑体"/>
          <w:bCs/>
          <w:sz w:val="44"/>
          <w:szCs w:val="44"/>
        </w:rPr>
      </w:pPr>
      <w:r>
        <w:rPr>
          <w:rFonts w:ascii="黑体" w:eastAsia="黑体" w:hAnsi="黑体" w:hint="eastAsia"/>
          <w:bCs/>
          <w:sz w:val="44"/>
          <w:szCs w:val="44"/>
        </w:rPr>
        <w:br w:type="page"/>
      </w:r>
      <w:r>
        <w:rPr>
          <w:rFonts w:ascii="黑体" w:eastAsia="黑体" w:hAnsi="黑体" w:hint="eastAsia"/>
          <w:bCs/>
          <w:sz w:val="44"/>
          <w:szCs w:val="44"/>
        </w:rPr>
        <w:lastRenderedPageBreak/>
        <w:t>目 录</w:t>
      </w:r>
    </w:p>
    <w:p w:rsidR="00593B0F" w:rsidRDefault="00E31212" w:rsidP="00F46DE3">
      <w:pPr>
        <w:pStyle w:val="a5"/>
        <w:adjustRightInd w:val="0"/>
        <w:snapToGrid w:val="0"/>
        <w:spacing w:before="0" w:beforeAutospacing="0" w:after="0" w:afterAutospacing="0" w:line="500" w:lineRule="exact"/>
        <w:ind w:firstLineChars="200" w:firstLine="640"/>
        <w:jc w:val="both"/>
        <w:rPr>
          <w:rFonts w:ascii="仿宋_GB2312" w:eastAsia="仿宋_GB2312" w:hAnsi="仿宋" w:cs="仿宋"/>
          <w:b/>
          <w:sz w:val="32"/>
        </w:rPr>
      </w:pPr>
      <w:r>
        <w:rPr>
          <w:rFonts w:ascii="仿宋_GB2312" w:eastAsia="仿宋_GB2312" w:hAnsi="仿宋" w:cs="仿宋" w:hint="eastAsia"/>
          <w:b/>
          <w:sz w:val="32"/>
        </w:rPr>
        <w:t>第一部分 部门概况</w:t>
      </w:r>
    </w:p>
    <w:p w:rsidR="00593B0F" w:rsidRDefault="00E31212">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rPr>
      </w:pPr>
      <w:r>
        <w:rPr>
          <w:rFonts w:ascii="仿宋_GB2312" w:eastAsia="仿宋_GB2312" w:hAnsi="仿宋" w:cs="仿宋" w:hint="eastAsia"/>
          <w:bCs/>
          <w:sz w:val="32"/>
        </w:rPr>
        <w:t>1.主要职责</w:t>
      </w:r>
    </w:p>
    <w:p w:rsidR="00593B0F" w:rsidRDefault="00E31212">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rPr>
      </w:pPr>
      <w:r>
        <w:rPr>
          <w:rFonts w:ascii="仿宋_GB2312" w:eastAsia="仿宋_GB2312" w:hAnsi="仿宋" w:cs="仿宋" w:hint="eastAsia"/>
          <w:bCs/>
          <w:sz w:val="32"/>
        </w:rPr>
        <w:t>2.部门预算单位构成</w:t>
      </w:r>
    </w:p>
    <w:p w:rsidR="00593B0F" w:rsidRDefault="00E31212">
      <w:pPr>
        <w:pStyle w:val="a5"/>
        <w:adjustRightInd w:val="0"/>
        <w:snapToGrid w:val="0"/>
        <w:spacing w:before="0" w:beforeAutospacing="0" w:after="0" w:afterAutospacing="0" w:line="500" w:lineRule="exact"/>
        <w:ind w:firstLineChars="200" w:firstLine="640"/>
        <w:rPr>
          <w:rFonts w:ascii="仿宋_GB2312" w:eastAsia="仿宋_GB2312" w:hAnsi="仿宋" w:cs="仿宋"/>
          <w:bCs/>
          <w:sz w:val="32"/>
        </w:rPr>
      </w:pPr>
      <w:r>
        <w:rPr>
          <w:rFonts w:ascii="仿宋_GB2312" w:eastAsia="仿宋_GB2312" w:hAnsi="仿宋" w:cs="仿宋" w:hint="eastAsia"/>
          <w:bCs/>
          <w:sz w:val="32"/>
        </w:rPr>
        <w:t>3.2019年度主要工作任务</w:t>
      </w:r>
    </w:p>
    <w:p w:rsidR="00593B0F" w:rsidRDefault="00E31212" w:rsidP="00F46DE3">
      <w:pPr>
        <w:pStyle w:val="a5"/>
        <w:adjustRightInd w:val="0"/>
        <w:snapToGrid w:val="0"/>
        <w:spacing w:before="0" w:beforeAutospacing="0" w:after="0" w:afterAutospacing="0" w:line="460" w:lineRule="exact"/>
        <w:ind w:firstLineChars="200" w:firstLine="640"/>
        <w:rPr>
          <w:rFonts w:ascii="仿宋_GB2312" w:eastAsia="仿宋_GB2312" w:hAnsi="仿宋" w:cs="仿宋"/>
          <w:b/>
          <w:sz w:val="32"/>
        </w:rPr>
      </w:pPr>
      <w:r>
        <w:rPr>
          <w:rFonts w:ascii="仿宋_GB2312" w:eastAsia="仿宋_GB2312" w:hAnsi="仿宋" w:cs="仿宋" w:hint="eastAsia"/>
          <w:b/>
          <w:sz w:val="32"/>
        </w:rPr>
        <w:t>第二部分 2019年部门预算表</w:t>
      </w:r>
    </w:p>
    <w:p w:rsidR="00593B0F" w:rsidRDefault="00E31212">
      <w:pPr>
        <w:pStyle w:val="a5"/>
        <w:adjustRightInd w:val="0"/>
        <w:snapToGrid w:val="0"/>
        <w:spacing w:before="0" w:beforeAutospacing="0" w:after="0" w:afterAutospacing="0" w:line="460" w:lineRule="exact"/>
        <w:ind w:firstLineChars="200" w:firstLine="640"/>
        <w:outlineLvl w:val="0"/>
        <w:rPr>
          <w:rFonts w:ascii="仿宋_GB2312" w:eastAsia="仿宋_GB2312" w:hAnsi="仿宋" w:cs="仿宋"/>
          <w:bCs/>
          <w:sz w:val="32"/>
        </w:rPr>
      </w:pPr>
      <w:r>
        <w:rPr>
          <w:rFonts w:ascii="仿宋_GB2312" w:eastAsia="仿宋_GB2312" w:hAnsi="仿宋" w:cs="仿宋" w:hint="eastAsia"/>
          <w:bCs/>
          <w:sz w:val="32"/>
        </w:rPr>
        <w:t>1.安徽大学2019年财政拨款收支总表</w:t>
      </w:r>
    </w:p>
    <w:p w:rsidR="00593B0F" w:rsidRDefault="00E31212">
      <w:pPr>
        <w:pStyle w:val="a5"/>
        <w:adjustRightInd w:val="0"/>
        <w:snapToGrid w:val="0"/>
        <w:spacing w:before="0" w:beforeAutospacing="0" w:after="0" w:afterAutospacing="0" w:line="460" w:lineRule="exact"/>
        <w:ind w:firstLineChars="200" w:firstLine="640"/>
        <w:rPr>
          <w:rFonts w:ascii="仿宋_GB2312" w:eastAsia="仿宋_GB2312" w:hAnsi="仿宋" w:cs="仿宋"/>
          <w:bCs/>
          <w:sz w:val="32"/>
        </w:rPr>
      </w:pPr>
      <w:r>
        <w:rPr>
          <w:rFonts w:ascii="仿宋_GB2312" w:eastAsia="仿宋_GB2312" w:hAnsi="仿宋" w:cs="仿宋" w:hint="eastAsia"/>
          <w:bCs/>
          <w:sz w:val="32"/>
        </w:rPr>
        <w:t>2.安徽大学2019年一般公共预算支出表</w:t>
      </w:r>
    </w:p>
    <w:p w:rsidR="00593B0F" w:rsidRDefault="00E31212">
      <w:pPr>
        <w:pStyle w:val="a5"/>
        <w:adjustRightInd w:val="0"/>
        <w:snapToGrid w:val="0"/>
        <w:spacing w:before="0" w:beforeAutospacing="0" w:after="0" w:afterAutospacing="0" w:line="460" w:lineRule="exact"/>
        <w:ind w:firstLineChars="200" w:firstLine="640"/>
        <w:outlineLvl w:val="0"/>
        <w:rPr>
          <w:rFonts w:ascii="仿宋_GB2312" w:eastAsia="仿宋_GB2312" w:hAnsi="仿宋" w:cs="仿宋"/>
          <w:bCs/>
          <w:sz w:val="32"/>
        </w:rPr>
      </w:pPr>
      <w:r>
        <w:rPr>
          <w:rFonts w:ascii="仿宋_GB2312" w:eastAsia="仿宋_GB2312" w:hAnsi="仿宋" w:cs="仿宋" w:hint="eastAsia"/>
          <w:bCs/>
          <w:sz w:val="32"/>
        </w:rPr>
        <w:t>3. 安徽大学2019年一般公共预算基本支出表</w:t>
      </w:r>
    </w:p>
    <w:p w:rsidR="00593B0F" w:rsidRDefault="00E31212">
      <w:pPr>
        <w:pStyle w:val="a5"/>
        <w:adjustRightInd w:val="0"/>
        <w:snapToGrid w:val="0"/>
        <w:spacing w:before="0" w:beforeAutospacing="0" w:after="0" w:afterAutospacing="0" w:line="460" w:lineRule="exact"/>
        <w:ind w:firstLineChars="200" w:firstLine="640"/>
        <w:rPr>
          <w:rFonts w:ascii="仿宋_GB2312" w:eastAsia="仿宋_GB2312" w:hAnsi="仿宋" w:cs="仿宋"/>
          <w:bCs/>
          <w:sz w:val="32"/>
        </w:rPr>
      </w:pPr>
      <w:r>
        <w:rPr>
          <w:rFonts w:ascii="仿宋_GB2312" w:eastAsia="仿宋_GB2312" w:hAnsi="仿宋" w:cs="仿宋" w:hint="eastAsia"/>
          <w:bCs/>
          <w:sz w:val="32"/>
        </w:rPr>
        <w:t>4. 安徽大学2019年政府性基金预算支出表</w:t>
      </w:r>
    </w:p>
    <w:p w:rsidR="00593B0F" w:rsidRDefault="00E31212">
      <w:pPr>
        <w:pStyle w:val="a5"/>
        <w:adjustRightInd w:val="0"/>
        <w:snapToGrid w:val="0"/>
        <w:spacing w:before="0" w:beforeAutospacing="0" w:after="0" w:afterAutospacing="0" w:line="460" w:lineRule="exact"/>
        <w:ind w:firstLineChars="200" w:firstLine="640"/>
        <w:outlineLvl w:val="0"/>
        <w:rPr>
          <w:rFonts w:ascii="仿宋_GB2312" w:eastAsia="仿宋_GB2312" w:hAnsi="仿宋" w:cs="仿宋"/>
          <w:bCs/>
          <w:sz w:val="32"/>
        </w:rPr>
      </w:pPr>
      <w:r>
        <w:rPr>
          <w:rFonts w:ascii="仿宋_GB2312" w:eastAsia="仿宋_GB2312" w:hAnsi="仿宋" w:cs="仿宋" w:hint="eastAsia"/>
          <w:bCs/>
          <w:sz w:val="32"/>
        </w:rPr>
        <w:t>5. 安徽大学2019年国有资本经营预算支出表</w:t>
      </w:r>
    </w:p>
    <w:p w:rsidR="00593B0F" w:rsidRDefault="00E31212">
      <w:pPr>
        <w:pStyle w:val="a5"/>
        <w:adjustRightInd w:val="0"/>
        <w:snapToGrid w:val="0"/>
        <w:spacing w:before="0" w:beforeAutospacing="0" w:after="0" w:afterAutospacing="0" w:line="460" w:lineRule="exact"/>
        <w:ind w:firstLineChars="200" w:firstLine="640"/>
        <w:rPr>
          <w:rFonts w:ascii="仿宋_GB2312" w:eastAsia="仿宋_GB2312" w:hAnsi="仿宋" w:cs="仿宋"/>
          <w:bCs/>
          <w:sz w:val="32"/>
        </w:rPr>
      </w:pPr>
      <w:r>
        <w:rPr>
          <w:rFonts w:ascii="仿宋_GB2312" w:eastAsia="仿宋_GB2312" w:hAnsi="仿宋" w:cs="仿宋" w:hint="eastAsia"/>
          <w:bCs/>
          <w:sz w:val="32"/>
        </w:rPr>
        <w:t>6. 安徽大学2019年收支总表</w:t>
      </w:r>
    </w:p>
    <w:p w:rsidR="00593B0F" w:rsidRDefault="00E31212">
      <w:pPr>
        <w:pStyle w:val="a5"/>
        <w:adjustRightInd w:val="0"/>
        <w:snapToGrid w:val="0"/>
        <w:spacing w:before="0" w:beforeAutospacing="0" w:after="0" w:afterAutospacing="0" w:line="460" w:lineRule="exact"/>
        <w:ind w:firstLineChars="200" w:firstLine="640"/>
        <w:rPr>
          <w:rFonts w:ascii="仿宋_GB2312" w:eastAsia="仿宋_GB2312" w:hAnsi="仿宋" w:cs="仿宋"/>
          <w:bCs/>
          <w:sz w:val="32"/>
        </w:rPr>
      </w:pPr>
      <w:r>
        <w:rPr>
          <w:rFonts w:ascii="仿宋_GB2312" w:eastAsia="仿宋_GB2312" w:hAnsi="仿宋" w:cs="仿宋" w:hint="eastAsia"/>
          <w:bCs/>
          <w:sz w:val="32"/>
        </w:rPr>
        <w:t>7. 安徽大学2019年收入总表</w:t>
      </w:r>
    </w:p>
    <w:p w:rsidR="00593B0F" w:rsidRDefault="00E31212">
      <w:pPr>
        <w:pStyle w:val="a5"/>
        <w:adjustRightInd w:val="0"/>
        <w:snapToGrid w:val="0"/>
        <w:spacing w:before="0" w:beforeAutospacing="0" w:after="0" w:afterAutospacing="0" w:line="460" w:lineRule="exact"/>
        <w:ind w:firstLineChars="200" w:firstLine="640"/>
        <w:rPr>
          <w:rFonts w:ascii="仿宋_GB2312" w:eastAsia="仿宋_GB2312" w:hAnsi="仿宋" w:cs="仿宋"/>
          <w:bCs/>
          <w:sz w:val="32"/>
        </w:rPr>
      </w:pPr>
      <w:r>
        <w:rPr>
          <w:rFonts w:ascii="仿宋_GB2312" w:eastAsia="仿宋_GB2312" w:hAnsi="仿宋" w:cs="仿宋" w:hint="eastAsia"/>
          <w:bCs/>
          <w:sz w:val="32"/>
        </w:rPr>
        <w:t>8. 安徽大学2019年支出总表</w:t>
      </w:r>
    </w:p>
    <w:p w:rsidR="00593B0F" w:rsidRDefault="00E31212">
      <w:pPr>
        <w:pStyle w:val="a5"/>
        <w:adjustRightInd w:val="0"/>
        <w:snapToGrid w:val="0"/>
        <w:spacing w:before="0" w:beforeAutospacing="0" w:after="0" w:afterAutospacing="0" w:line="460" w:lineRule="exact"/>
        <w:ind w:firstLineChars="200" w:firstLine="640"/>
        <w:rPr>
          <w:rFonts w:ascii="仿宋_GB2312" w:eastAsia="仿宋_GB2312" w:hAnsi="仿宋" w:cs="仿宋"/>
          <w:bCs/>
          <w:sz w:val="32"/>
        </w:rPr>
      </w:pPr>
      <w:r>
        <w:rPr>
          <w:rFonts w:ascii="仿宋_GB2312" w:eastAsia="仿宋_GB2312" w:hAnsi="仿宋" w:cs="仿宋" w:hint="eastAsia"/>
          <w:bCs/>
          <w:sz w:val="32"/>
        </w:rPr>
        <w:t>9. 安徽大学2019年政府采购支出表</w:t>
      </w:r>
    </w:p>
    <w:p w:rsidR="00593B0F" w:rsidRDefault="00E31212" w:rsidP="00F46DE3">
      <w:pPr>
        <w:pStyle w:val="a5"/>
        <w:adjustRightInd w:val="0"/>
        <w:snapToGrid w:val="0"/>
        <w:spacing w:before="0" w:beforeAutospacing="0" w:after="0" w:afterAutospacing="0" w:line="460" w:lineRule="exact"/>
        <w:ind w:firstLineChars="200" w:firstLine="640"/>
        <w:rPr>
          <w:rFonts w:ascii="仿宋_GB2312" w:eastAsia="仿宋_GB2312" w:hAnsi="仿宋" w:cs="仿宋"/>
          <w:b/>
          <w:sz w:val="32"/>
        </w:rPr>
      </w:pPr>
      <w:r>
        <w:rPr>
          <w:rFonts w:ascii="仿宋_GB2312" w:eastAsia="仿宋_GB2312" w:hAnsi="仿宋" w:cs="仿宋" w:hint="eastAsia"/>
          <w:b/>
          <w:sz w:val="32"/>
        </w:rPr>
        <w:t>第三部分 2019年部门预算情况说明</w:t>
      </w:r>
    </w:p>
    <w:p w:rsidR="00593B0F" w:rsidRDefault="00E31212">
      <w:pPr>
        <w:pStyle w:val="a5"/>
        <w:adjustRightInd w:val="0"/>
        <w:snapToGrid w:val="0"/>
        <w:spacing w:before="0" w:beforeAutospacing="0" w:after="0" w:afterAutospacing="0" w:line="460" w:lineRule="exact"/>
        <w:ind w:firstLineChars="200" w:firstLine="640"/>
        <w:outlineLvl w:val="0"/>
        <w:rPr>
          <w:rFonts w:ascii="仿宋_GB2312" w:eastAsia="仿宋_GB2312" w:hAnsi="仿宋" w:cs="仿宋"/>
          <w:bCs/>
          <w:sz w:val="32"/>
        </w:rPr>
      </w:pPr>
      <w:r>
        <w:rPr>
          <w:rFonts w:ascii="仿宋_GB2312" w:eastAsia="仿宋_GB2312" w:hAnsi="仿宋" w:cs="仿宋" w:hint="eastAsia"/>
          <w:bCs/>
          <w:sz w:val="32"/>
        </w:rPr>
        <w:t>1.关于2019年财政拨款收支预算总体情况说明</w:t>
      </w:r>
    </w:p>
    <w:p w:rsidR="00593B0F" w:rsidRDefault="00E31212">
      <w:pPr>
        <w:pStyle w:val="a5"/>
        <w:adjustRightInd w:val="0"/>
        <w:snapToGrid w:val="0"/>
        <w:spacing w:before="0" w:beforeAutospacing="0" w:after="0" w:afterAutospacing="0" w:line="460" w:lineRule="exact"/>
        <w:ind w:firstLineChars="200" w:firstLine="640"/>
        <w:rPr>
          <w:rFonts w:ascii="仿宋_GB2312" w:eastAsia="仿宋_GB2312" w:hAnsi="仿宋" w:cs="仿宋"/>
          <w:bCs/>
          <w:sz w:val="32"/>
        </w:rPr>
      </w:pPr>
      <w:r>
        <w:rPr>
          <w:rFonts w:ascii="仿宋_GB2312" w:eastAsia="仿宋_GB2312" w:hAnsi="仿宋" w:cs="仿宋" w:hint="eastAsia"/>
          <w:bCs/>
          <w:sz w:val="32"/>
        </w:rPr>
        <w:t>2.关于2019年一般公共预算财政拨款情况说明</w:t>
      </w:r>
    </w:p>
    <w:p w:rsidR="00593B0F" w:rsidRDefault="00E31212">
      <w:pPr>
        <w:pStyle w:val="a5"/>
        <w:adjustRightInd w:val="0"/>
        <w:snapToGrid w:val="0"/>
        <w:spacing w:before="0" w:beforeAutospacing="0" w:after="0" w:afterAutospacing="0" w:line="460" w:lineRule="exact"/>
        <w:ind w:firstLineChars="200" w:firstLine="640"/>
        <w:outlineLvl w:val="0"/>
        <w:rPr>
          <w:rFonts w:ascii="仿宋_GB2312" w:eastAsia="仿宋_GB2312" w:hAnsi="仿宋" w:cs="仿宋"/>
          <w:bCs/>
          <w:sz w:val="32"/>
        </w:rPr>
      </w:pPr>
      <w:r>
        <w:rPr>
          <w:rFonts w:ascii="仿宋_GB2312" w:eastAsia="仿宋_GB2312" w:hAnsi="仿宋" w:cs="仿宋" w:hint="eastAsia"/>
          <w:bCs/>
          <w:sz w:val="32"/>
        </w:rPr>
        <w:t>3.关于2019年一般公共预算基本支出情况说明</w:t>
      </w:r>
    </w:p>
    <w:p w:rsidR="00593B0F" w:rsidRDefault="00E31212">
      <w:pPr>
        <w:pStyle w:val="a5"/>
        <w:adjustRightInd w:val="0"/>
        <w:snapToGrid w:val="0"/>
        <w:spacing w:before="0" w:beforeAutospacing="0" w:after="0" w:afterAutospacing="0" w:line="460" w:lineRule="exact"/>
        <w:ind w:firstLineChars="200" w:firstLine="640"/>
        <w:rPr>
          <w:rFonts w:ascii="仿宋_GB2312" w:eastAsia="仿宋_GB2312" w:hAnsi="仿宋" w:cs="仿宋"/>
          <w:bCs/>
          <w:sz w:val="32"/>
        </w:rPr>
      </w:pPr>
      <w:r>
        <w:rPr>
          <w:rFonts w:ascii="仿宋_GB2312" w:eastAsia="仿宋_GB2312" w:hAnsi="仿宋" w:cs="仿宋" w:hint="eastAsia"/>
          <w:bCs/>
          <w:sz w:val="32"/>
        </w:rPr>
        <w:t>4.关于2019年政府性基金预算拨款情况说明</w:t>
      </w:r>
    </w:p>
    <w:p w:rsidR="00593B0F" w:rsidRDefault="00E31212">
      <w:pPr>
        <w:pStyle w:val="a5"/>
        <w:adjustRightInd w:val="0"/>
        <w:snapToGrid w:val="0"/>
        <w:spacing w:before="0" w:beforeAutospacing="0" w:after="0" w:afterAutospacing="0" w:line="460" w:lineRule="exact"/>
        <w:ind w:firstLineChars="200" w:firstLine="640"/>
        <w:outlineLvl w:val="0"/>
        <w:rPr>
          <w:rFonts w:ascii="仿宋_GB2312" w:eastAsia="仿宋_GB2312" w:hAnsi="仿宋" w:cs="仿宋"/>
          <w:bCs/>
          <w:sz w:val="32"/>
        </w:rPr>
      </w:pPr>
      <w:r>
        <w:rPr>
          <w:rFonts w:ascii="仿宋_GB2312" w:eastAsia="仿宋_GB2312" w:hAnsi="仿宋" w:cs="仿宋" w:hint="eastAsia"/>
          <w:bCs/>
          <w:sz w:val="32"/>
        </w:rPr>
        <w:t>5.关于2019年国有资本经营预算拨款情况说明</w:t>
      </w:r>
    </w:p>
    <w:p w:rsidR="00593B0F" w:rsidRDefault="00E31212">
      <w:pPr>
        <w:pStyle w:val="a5"/>
        <w:adjustRightInd w:val="0"/>
        <w:snapToGrid w:val="0"/>
        <w:spacing w:before="0" w:beforeAutospacing="0" w:after="0" w:afterAutospacing="0" w:line="460" w:lineRule="exact"/>
        <w:ind w:firstLineChars="200" w:firstLine="640"/>
        <w:rPr>
          <w:rFonts w:ascii="仿宋_GB2312" w:eastAsia="仿宋_GB2312" w:hAnsi="仿宋" w:cs="仿宋"/>
          <w:bCs/>
          <w:sz w:val="32"/>
        </w:rPr>
      </w:pPr>
      <w:r>
        <w:rPr>
          <w:rFonts w:ascii="仿宋_GB2312" w:eastAsia="仿宋_GB2312" w:hAnsi="仿宋" w:cs="仿宋" w:hint="eastAsia"/>
          <w:bCs/>
          <w:sz w:val="32"/>
        </w:rPr>
        <w:t>6.关于2019年收支预算总体情况说明</w:t>
      </w:r>
    </w:p>
    <w:p w:rsidR="00593B0F" w:rsidRDefault="00E31212">
      <w:pPr>
        <w:pStyle w:val="a5"/>
        <w:adjustRightInd w:val="0"/>
        <w:snapToGrid w:val="0"/>
        <w:spacing w:before="0" w:beforeAutospacing="0" w:after="0" w:afterAutospacing="0" w:line="460" w:lineRule="exact"/>
        <w:ind w:firstLineChars="200" w:firstLine="640"/>
        <w:rPr>
          <w:rFonts w:ascii="仿宋_GB2312" w:eastAsia="仿宋_GB2312" w:hAnsi="仿宋" w:cs="仿宋"/>
          <w:bCs/>
          <w:sz w:val="32"/>
        </w:rPr>
      </w:pPr>
      <w:r>
        <w:rPr>
          <w:rFonts w:ascii="仿宋_GB2312" w:eastAsia="仿宋_GB2312" w:hAnsi="仿宋" w:cs="仿宋" w:hint="eastAsia"/>
          <w:bCs/>
          <w:sz w:val="32"/>
        </w:rPr>
        <w:t>7.关于2019年收入预算情况说明</w:t>
      </w:r>
    </w:p>
    <w:p w:rsidR="00593B0F" w:rsidRDefault="00E31212">
      <w:pPr>
        <w:pStyle w:val="a5"/>
        <w:adjustRightInd w:val="0"/>
        <w:snapToGrid w:val="0"/>
        <w:spacing w:before="0" w:beforeAutospacing="0" w:after="0" w:afterAutospacing="0" w:line="460" w:lineRule="exact"/>
        <w:ind w:firstLineChars="200" w:firstLine="640"/>
        <w:rPr>
          <w:rFonts w:ascii="仿宋_GB2312" w:eastAsia="仿宋_GB2312" w:hAnsi="仿宋" w:cs="仿宋"/>
          <w:bCs/>
          <w:sz w:val="32"/>
        </w:rPr>
      </w:pPr>
      <w:r>
        <w:rPr>
          <w:rFonts w:ascii="仿宋_GB2312" w:eastAsia="仿宋_GB2312" w:hAnsi="仿宋" w:cs="仿宋" w:hint="eastAsia"/>
          <w:bCs/>
          <w:sz w:val="32"/>
        </w:rPr>
        <w:t>8.关于2019年支出预算情况说明</w:t>
      </w:r>
    </w:p>
    <w:p w:rsidR="00593B0F" w:rsidRDefault="00E31212">
      <w:pPr>
        <w:pStyle w:val="a5"/>
        <w:adjustRightInd w:val="0"/>
        <w:snapToGrid w:val="0"/>
        <w:spacing w:before="0" w:beforeAutospacing="0" w:after="0" w:afterAutospacing="0" w:line="460" w:lineRule="exact"/>
        <w:ind w:firstLineChars="200" w:firstLine="640"/>
        <w:rPr>
          <w:rFonts w:ascii="仿宋_GB2312" w:eastAsia="仿宋_GB2312" w:hAnsi="仿宋" w:cs="仿宋"/>
          <w:bCs/>
          <w:sz w:val="32"/>
        </w:rPr>
      </w:pPr>
      <w:r>
        <w:rPr>
          <w:rFonts w:ascii="仿宋_GB2312" w:eastAsia="仿宋_GB2312" w:hAnsi="仿宋" w:cs="仿宋" w:hint="eastAsia"/>
          <w:bCs/>
          <w:sz w:val="32"/>
        </w:rPr>
        <w:t>9.其他重要事项情况说明</w:t>
      </w:r>
    </w:p>
    <w:p w:rsidR="00593B0F" w:rsidRDefault="00E31212" w:rsidP="00F46DE3">
      <w:pPr>
        <w:pStyle w:val="a5"/>
        <w:adjustRightInd w:val="0"/>
        <w:snapToGrid w:val="0"/>
        <w:spacing w:before="0" w:beforeAutospacing="0" w:after="0" w:afterAutospacing="0" w:line="460" w:lineRule="exact"/>
        <w:ind w:firstLineChars="200" w:firstLine="640"/>
        <w:rPr>
          <w:rFonts w:ascii="仿宋_GB2312" w:eastAsia="仿宋_GB2312" w:hAnsi="仿宋" w:cs="仿宋"/>
          <w:b/>
          <w:sz w:val="32"/>
        </w:rPr>
      </w:pPr>
      <w:r>
        <w:rPr>
          <w:rFonts w:ascii="仿宋_GB2312" w:eastAsia="仿宋_GB2312" w:hAnsi="仿宋" w:cs="仿宋" w:hint="eastAsia"/>
          <w:b/>
          <w:sz w:val="32"/>
        </w:rPr>
        <w:t>第四部分 名词解释</w:t>
      </w:r>
    </w:p>
    <w:p w:rsidR="00593B0F" w:rsidRDefault="00E31212">
      <w:pPr>
        <w:pStyle w:val="a5"/>
        <w:adjustRightInd w:val="0"/>
        <w:snapToGrid w:val="0"/>
        <w:spacing w:before="0" w:beforeAutospacing="0" w:after="0" w:afterAutospacing="0" w:line="500" w:lineRule="exact"/>
        <w:jc w:val="center"/>
        <w:rPr>
          <w:rFonts w:ascii="黑体" w:eastAsia="黑体" w:hAnsi="黑体"/>
          <w:bCs/>
          <w:sz w:val="36"/>
          <w:szCs w:val="36"/>
        </w:rPr>
      </w:pPr>
      <w:r>
        <w:rPr>
          <w:rFonts w:ascii="仿宋_GB2312" w:eastAsia="仿宋_GB2312" w:hAnsi="仿宋" w:cs="仿宋" w:hint="eastAsia"/>
          <w:b/>
          <w:sz w:val="32"/>
        </w:rPr>
        <w:br w:type="page"/>
      </w:r>
      <w:r>
        <w:rPr>
          <w:rFonts w:ascii="黑体" w:eastAsia="黑体" w:hAnsi="黑体" w:hint="eastAsia"/>
          <w:bCs/>
          <w:sz w:val="36"/>
          <w:szCs w:val="36"/>
        </w:rPr>
        <w:lastRenderedPageBreak/>
        <w:t>第一部分 部门概况</w:t>
      </w:r>
    </w:p>
    <w:p w:rsidR="00593B0F" w:rsidRDefault="00593B0F">
      <w:pPr>
        <w:pStyle w:val="a5"/>
        <w:adjustRightInd w:val="0"/>
        <w:snapToGrid w:val="0"/>
        <w:spacing w:before="0" w:beforeAutospacing="0" w:after="0" w:afterAutospacing="0" w:line="360" w:lineRule="auto"/>
        <w:ind w:firstLineChars="196" w:firstLine="627"/>
        <w:jc w:val="both"/>
        <w:rPr>
          <w:rFonts w:ascii="黑体" w:eastAsia="黑体" w:hAnsi="黑体"/>
          <w:bCs/>
          <w:sz w:val="32"/>
        </w:rPr>
      </w:pPr>
    </w:p>
    <w:p w:rsidR="00593B0F" w:rsidRDefault="00E31212">
      <w:pPr>
        <w:pStyle w:val="a5"/>
        <w:adjustRightInd w:val="0"/>
        <w:snapToGrid w:val="0"/>
        <w:spacing w:before="0" w:beforeAutospacing="0" w:after="0" w:afterAutospacing="0"/>
        <w:ind w:firstLineChars="196" w:firstLine="627"/>
        <w:jc w:val="both"/>
      </w:pPr>
      <w:r>
        <w:rPr>
          <w:rFonts w:ascii="黑体" w:eastAsia="黑体" w:hAnsi="黑体" w:hint="eastAsia"/>
          <w:bCs/>
          <w:sz w:val="32"/>
        </w:rPr>
        <w:t>一、主要职责</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根据安徽省机构编制委员会文件规定（皖编</w:t>
      </w:r>
      <w:r w:rsidR="00F46DE3">
        <w:rPr>
          <w:rFonts w:ascii="仿宋_GB2312" w:eastAsia="仿宋_GB2312" w:hAnsi="仿宋" w:hint="eastAsia"/>
        </w:rPr>
        <w:t>〔</w:t>
      </w:r>
      <w:r>
        <w:rPr>
          <w:rFonts w:ascii="仿宋_GB2312" w:eastAsia="仿宋_GB2312" w:hAnsi="仿宋" w:hint="eastAsia"/>
        </w:rPr>
        <w:t>1999</w:t>
      </w:r>
      <w:r w:rsidR="00F46DE3">
        <w:rPr>
          <w:rFonts w:ascii="仿宋_GB2312" w:eastAsia="仿宋_GB2312" w:hAnsi="仿宋" w:hint="eastAsia"/>
        </w:rPr>
        <w:t>〕</w:t>
      </w:r>
      <w:r>
        <w:rPr>
          <w:rFonts w:ascii="仿宋_GB2312" w:eastAsia="仿宋_GB2312" w:hAnsi="仿宋" w:hint="eastAsia"/>
        </w:rPr>
        <w:t>44号），安徽大学主要职责是：</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1、贯彻执行党的教育方针和国家有关教育的法律法规及政策，为社会培养合格的高等教育各类专业人才。</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2、开展科学研究工作，承担上级下达的科研任务。</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3、承担成人高等教育教学任务，培养适应经济、社会发展需要的专业人才。</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4、承办省教育厅交办的其他工作。</w:t>
      </w:r>
    </w:p>
    <w:p w:rsidR="00593B0F" w:rsidRDefault="00593B0F">
      <w:pPr>
        <w:spacing w:line="540" w:lineRule="exact"/>
        <w:ind w:firstLineChars="200" w:firstLine="640"/>
        <w:rPr>
          <w:rFonts w:ascii="仿宋_GB2312" w:eastAsia="仿宋_GB2312" w:hAnsi="仿宋"/>
        </w:rPr>
      </w:pPr>
    </w:p>
    <w:p w:rsidR="00593B0F" w:rsidRDefault="00E31212">
      <w:pPr>
        <w:pStyle w:val="a5"/>
        <w:adjustRightInd w:val="0"/>
        <w:snapToGrid w:val="0"/>
        <w:spacing w:before="0" w:beforeAutospacing="0" w:after="0" w:afterAutospacing="0"/>
        <w:ind w:firstLineChars="196" w:firstLine="627"/>
        <w:jc w:val="both"/>
      </w:pPr>
      <w:r>
        <w:rPr>
          <w:rFonts w:ascii="黑体" w:eastAsia="黑体" w:hAnsi="黑体" w:hint="eastAsia"/>
          <w:bCs/>
          <w:sz w:val="32"/>
        </w:rPr>
        <w:t>二、部门预算单位构成</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安徽大学作为安徽省教育厅所属高校，为二级预算单位。</w:t>
      </w:r>
    </w:p>
    <w:p w:rsidR="00593B0F" w:rsidRDefault="00593B0F">
      <w:pPr>
        <w:pStyle w:val="a5"/>
        <w:adjustRightInd w:val="0"/>
        <w:snapToGrid w:val="0"/>
        <w:spacing w:before="0" w:beforeAutospacing="0" w:after="0" w:afterAutospacing="0"/>
        <w:ind w:firstLineChars="196" w:firstLine="627"/>
        <w:rPr>
          <w:rFonts w:ascii="黑体" w:eastAsia="黑体" w:hAnsi="黑体"/>
          <w:bCs/>
          <w:sz w:val="32"/>
        </w:rPr>
      </w:pPr>
    </w:p>
    <w:p w:rsidR="00593B0F" w:rsidRDefault="00E31212">
      <w:pPr>
        <w:pStyle w:val="a5"/>
        <w:adjustRightInd w:val="0"/>
        <w:snapToGrid w:val="0"/>
        <w:spacing w:before="0" w:beforeAutospacing="0" w:after="0" w:afterAutospacing="0"/>
        <w:ind w:firstLineChars="196" w:firstLine="627"/>
        <w:rPr>
          <w:rFonts w:ascii="黑体" w:eastAsia="黑体" w:hAnsi="黑体"/>
          <w:bCs/>
          <w:sz w:val="32"/>
        </w:rPr>
      </w:pPr>
      <w:r>
        <w:rPr>
          <w:rFonts w:ascii="黑体" w:eastAsia="黑体" w:hAnsi="黑体" w:hint="eastAsia"/>
          <w:bCs/>
          <w:sz w:val="32"/>
        </w:rPr>
        <w:t>三、2019年度主要工作任务</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2019年学校工作总体要求是：坚持以习近平新时代中国特色社会主义思想为指导，深入学习贯彻党的十九大和十九届二中、三中全会精神，全面贯彻全国教育大会、庆祝改革开放40周年大会精神，贯彻落实省委省政府及学校党委决策部署，坚持底线思维，强化风险意识，努力树立“四个标杆”，着力实施一流学科引领、质量全面提升、服务五大发展“三大战略”，全面落实从严治党、“双一流”建设、综合改革、依法治校“四大任务”，持续优化学校内部治理结构，为迎接2020年国家“双一流”建设中期考核打下决定性基</w:t>
      </w:r>
      <w:r>
        <w:rPr>
          <w:rFonts w:ascii="仿宋_GB2312" w:eastAsia="仿宋_GB2312" w:hAnsi="仿宋" w:hint="eastAsia"/>
        </w:rPr>
        <w:lastRenderedPageBreak/>
        <w:t>础，奋力推进国际知名国内一流高水平大学建设，为决胜全面建成小康社会和实现中华民族伟大复兴的中国梦，为现代化五大发展美好安徽建设贡献力量，以优异成绩献礼新中国成立70周年，迎接学校第九次党代会胜利召开。</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 xml:space="preserve">（一）坚持从严治党，加强党对学校事业的全面领导 </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1、加强政治建设</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2、加强干部队伍建设</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3、加强基层组织建设</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4、加强党风廉政建设</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5、加强领导班子自身建设</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（二）落实立德树人，进一步加强和改进思想政治工作</w:t>
      </w:r>
    </w:p>
    <w:p w:rsidR="00593B0F" w:rsidRDefault="00E31212">
      <w:pPr>
        <w:spacing w:line="540" w:lineRule="exact"/>
        <w:ind w:firstLineChars="200" w:firstLine="640"/>
        <w:rPr>
          <w:rFonts w:ascii="仿宋_GB2312" w:eastAsia="仿宋_GB2312" w:hAnsi="仿宋" w:cs="仿宋_GB2312"/>
        </w:rPr>
      </w:pPr>
      <w:r>
        <w:rPr>
          <w:rFonts w:ascii="仿宋_GB2312" w:eastAsia="仿宋_GB2312" w:hAnsi="仿宋" w:hint="eastAsia"/>
        </w:rPr>
        <w:t>1、</w:t>
      </w:r>
      <w:r>
        <w:rPr>
          <w:rFonts w:ascii="仿宋_GB2312" w:eastAsia="仿宋_GB2312" w:hAnsi="仿宋" w:cs="仿宋_GB2312" w:hint="eastAsia"/>
        </w:rPr>
        <w:t>强化思想引领</w:t>
      </w:r>
    </w:p>
    <w:p w:rsidR="00593B0F" w:rsidRDefault="00E31212">
      <w:pPr>
        <w:spacing w:line="540" w:lineRule="exact"/>
        <w:ind w:firstLineChars="200" w:firstLine="640"/>
        <w:rPr>
          <w:rFonts w:ascii="仿宋_GB2312" w:eastAsia="仿宋_GB2312" w:hAnsi="仿宋" w:cs="仿宋_GB2312"/>
        </w:rPr>
      </w:pPr>
      <w:r>
        <w:rPr>
          <w:rFonts w:ascii="仿宋_GB2312" w:eastAsia="仿宋_GB2312" w:hAnsi="仿宋" w:hint="eastAsia"/>
        </w:rPr>
        <w:t>2、</w:t>
      </w:r>
      <w:r>
        <w:rPr>
          <w:rFonts w:ascii="仿宋_GB2312" w:eastAsia="仿宋_GB2312" w:hAnsi="仿宋" w:cs="仿宋_GB2312" w:hint="eastAsia"/>
        </w:rPr>
        <w:t>夯实育人平台</w:t>
      </w:r>
    </w:p>
    <w:p w:rsidR="00593B0F" w:rsidRDefault="00E31212">
      <w:pPr>
        <w:spacing w:line="540" w:lineRule="exact"/>
        <w:ind w:firstLineChars="200" w:firstLine="640"/>
        <w:rPr>
          <w:rFonts w:ascii="仿宋_GB2312" w:eastAsia="仿宋_GB2312" w:hAnsi="楷体" w:cs="楷体"/>
          <w:bCs/>
        </w:rPr>
      </w:pPr>
      <w:r>
        <w:rPr>
          <w:rFonts w:ascii="仿宋_GB2312" w:eastAsia="仿宋_GB2312" w:hAnsi="仿宋" w:cs="仿宋_GB2312" w:hint="eastAsia"/>
        </w:rPr>
        <w:t>3、</w:t>
      </w:r>
      <w:r>
        <w:rPr>
          <w:rFonts w:ascii="仿宋_GB2312" w:eastAsia="仿宋_GB2312" w:hAnsi="楷体" w:cs="楷体" w:hint="eastAsia"/>
          <w:bCs/>
        </w:rPr>
        <w:t>创新日常管理</w:t>
      </w:r>
    </w:p>
    <w:p w:rsidR="00593B0F" w:rsidRDefault="00E31212">
      <w:pPr>
        <w:spacing w:line="540" w:lineRule="exact"/>
        <w:ind w:firstLineChars="200" w:firstLine="640"/>
        <w:rPr>
          <w:rFonts w:ascii="仿宋_GB2312" w:eastAsia="仿宋_GB2312" w:hAnsi="仿宋" w:cs="仿宋_GB2312"/>
        </w:rPr>
      </w:pPr>
      <w:r>
        <w:rPr>
          <w:rFonts w:ascii="仿宋_GB2312" w:eastAsia="仿宋_GB2312" w:hAnsi="仿宋" w:hint="eastAsia"/>
        </w:rPr>
        <w:t>4、</w:t>
      </w:r>
      <w:r>
        <w:rPr>
          <w:rFonts w:ascii="仿宋_GB2312" w:eastAsia="仿宋_GB2312" w:hAnsi="仿宋" w:cs="仿宋_GB2312" w:hint="eastAsia"/>
        </w:rPr>
        <w:t>建强育人队伍</w:t>
      </w:r>
    </w:p>
    <w:p w:rsidR="00593B0F" w:rsidRDefault="00E31212">
      <w:pPr>
        <w:spacing w:line="540" w:lineRule="exact"/>
        <w:ind w:firstLineChars="200" w:firstLine="640"/>
        <w:rPr>
          <w:rFonts w:ascii="仿宋_GB2312" w:eastAsia="仿宋_GB2312" w:hAnsi="仿宋" w:cs="仿宋_GB2312"/>
        </w:rPr>
      </w:pPr>
      <w:r>
        <w:rPr>
          <w:rFonts w:ascii="仿宋_GB2312" w:eastAsia="仿宋_GB2312" w:hAnsi="仿宋" w:hint="eastAsia"/>
        </w:rPr>
        <w:t>5、</w:t>
      </w:r>
      <w:r>
        <w:rPr>
          <w:rFonts w:ascii="仿宋_GB2312" w:eastAsia="仿宋_GB2312" w:hAnsi="仿宋" w:cs="仿宋_GB2312" w:hint="eastAsia"/>
        </w:rPr>
        <w:t>优化育人环境</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（三）强化顶层设计，统筹推进“双一流”建设、综合改革、“十三五”规划实施等重点工作</w:t>
      </w:r>
    </w:p>
    <w:p w:rsidR="00593B0F" w:rsidRDefault="00E31212">
      <w:pPr>
        <w:spacing w:line="540" w:lineRule="exact"/>
        <w:ind w:firstLineChars="200" w:firstLine="640"/>
        <w:rPr>
          <w:rFonts w:ascii="仿宋_GB2312" w:eastAsia="仿宋_GB2312" w:hAnsi="仿宋" w:cs="仿宋_GB2312"/>
        </w:rPr>
      </w:pPr>
      <w:r>
        <w:rPr>
          <w:rFonts w:ascii="仿宋_GB2312" w:eastAsia="仿宋_GB2312" w:hAnsi="仿宋" w:hint="eastAsia"/>
        </w:rPr>
        <w:t>1、</w:t>
      </w:r>
      <w:r>
        <w:rPr>
          <w:rFonts w:ascii="仿宋_GB2312" w:eastAsia="仿宋_GB2312" w:hAnsi="仿宋" w:cs="仿宋_GB2312" w:hint="eastAsia"/>
        </w:rPr>
        <w:t>全面加快“双一流”建设</w:t>
      </w:r>
    </w:p>
    <w:p w:rsidR="00593B0F" w:rsidRDefault="00E31212">
      <w:pPr>
        <w:spacing w:line="540" w:lineRule="exact"/>
        <w:ind w:firstLineChars="200" w:firstLine="640"/>
        <w:rPr>
          <w:rFonts w:ascii="仿宋_GB2312" w:eastAsia="仿宋_GB2312" w:hAnsi="仿宋" w:cs="仿宋_GB2312"/>
        </w:rPr>
      </w:pPr>
      <w:r>
        <w:rPr>
          <w:rFonts w:ascii="仿宋_GB2312" w:eastAsia="仿宋_GB2312" w:hAnsi="仿宋" w:hint="eastAsia"/>
        </w:rPr>
        <w:t>2、</w:t>
      </w:r>
      <w:r>
        <w:rPr>
          <w:rFonts w:ascii="仿宋_GB2312" w:eastAsia="仿宋_GB2312" w:hAnsi="仿宋" w:cs="仿宋_GB2312" w:hint="eastAsia"/>
        </w:rPr>
        <w:t>抓好综合改革和“十三五”规划实施</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（四）深化教育教学改革，全面提升人才培养质量</w:t>
      </w:r>
    </w:p>
    <w:p w:rsidR="00593B0F" w:rsidRDefault="00E31212">
      <w:pPr>
        <w:spacing w:line="540" w:lineRule="exact"/>
        <w:ind w:firstLineChars="200" w:firstLine="640"/>
        <w:rPr>
          <w:rFonts w:ascii="仿宋_GB2312" w:eastAsia="仿宋_GB2312" w:hAnsi="楷体" w:cs="楷体"/>
          <w:bCs/>
        </w:rPr>
      </w:pPr>
      <w:r>
        <w:rPr>
          <w:rFonts w:ascii="仿宋_GB2312" w:eastAsia="仿宋_GB2312" w:hAnsi="仿宋" w:hint="eastAsia"/>
        </w:rPr>
        <w:t>1、</w:t>
      </w:r>
      <w:r>
        <w:rPr>
          <w:rFonts w:ascii="仿宋_GB2312" w:eastAsia="仿宋_GB2312" w:hAnsi="楷体" w:cs="楷体" w:hint="eastAsia"/>
          <w:bCs/>
        </w:rPr>
        <w:t>着力构建德智体美劳教育体系</w:t>
      </w:r>
    </w:p>
    <w:p w:rsidR="00593B0F" w:rsidRDefault="00E31212">
      <w:pPr>
        <w:spacing w:line="540" w:lineRule="exact"/>
        <w:ind w:firstLineChars="200" w:firstLine="640"/>
        <w:rPr>
          <w:rFonts w:ascii="仿宋_GB2312" w:eastAsia="仿宋_GB2312" w:hAnsi="楷体" w:cs="楷体"/>
          <w:bCs/>
        </w:rPr>
      </w:pPr>
      <w:r>
        <w:rPr>
          <w:rFonts w:ascii="仿宋_GB2312" w:eastAsia="仿宋_GB2312" w:hAnsi="楷体" w:cs="楷体" w:hint="eastAsia"/>
          <w:bCs/>
        </w:rPr>
        <w:t>2、深化本科教育教学改革</w:t>
      </w:r>
    </w:p>
    <w:p w:rsidR="00593B0F" w:rsidRDefault="00E31212">
      <w:pPr>
        <w:spacing w:line="540" w:lineRule="exact"/>
        <w:ind w:firstLineChars="200" w:firstLine="640"/>
        <w:rPr>
          <w:rFonts w:ascii="仿宋_GB2312" w:eastAsia="仿宋_GB2312" w:hAnsi="楷体" w:cs="楷体"/>
          <w:bCs/>
        </w:rPr>
      </w:pPr>
      <w:r>
        <w:rPr>
          <w:rFonts w:ascii="仿宋_GB2312" w:eastAsia="仿宋_GB2312" w:hAnsi="楷体" w:cs="楷体" w:hint="eastAsia"/>
          <w:bCs/>
        </w:rPr>
        <w:lastRenderedPageBreak/>
        <w:t>3、继续推进研究生教育教学改革和学位点建设</w:t>
      </w:r>
    </w:p>
    <w:p w:rsidR="00593B0F" w:rsidRDefault="00E31212">
      <w:pPr>
        <w:spacing w:line="540" w:lineRule="exact"/>
        <w:ind w:firstLineChars="200" w:firstLine="640"/>
        <w:rPr>
          <w:rFonts w:ascii="仿宋_GB2312" w:eastAsia="仿宋_GB2312" w:hAnsi="仿宋"/>
        </w:rPr>
      </w:pPr>
      <w:r>
        <w:rPr>
          <w:rFonts w:ascii="仿宋_GB2312" w:eastAsia="仿宋_GB2312" w:hAnsi="楷体" w:cs="楷体" w:hint="eastAsia"/>
          <w:bCs/>
        </w:rPr>
        <w:t>4、统筹推进多种类型办学</w:t>
      </w:r>
    </w:p>
    <w:p w:rsidR="00593B0F" w:rsidRDefault="00E31212">
      <w:pPr>
        <w:widowControl/>
        <w:spacing w:line="540" w:lineRule="exact"/>
        <w:ind w:firstLineChars="200" w:firstLine="640"/>
        <w:rPr>
          <w:rFonts w:ascii="仿宋_GB2312" w:eastAsia="仿宋_GB2312" w:hAnsi="仿宋"/>
        </w:rPr>
      </w:pPr>
      <w:r>
        <w:rPr>
          <w:rFonts w:ascii="仿宋_GB2312" w:eastAsia="仿宋_GB2312" w:hAnsi="仿宋" w:hint="eastAsia"/>
        </w:rPr>
        <w:t>（五）激发科研活力，提升服务现代化五大发展美好安徽建设能力</w:t>
      </w:r>
    </w:p>
    <w:p w:rsidR="00593B0F" w:rsidRDefault="00E31212">
      <w:pPr>
        <w:widowControl/>
        <w:spacing w:line="540" w:lineRule="exact"/>
        <w:ind w:firstLineChars="200" w:firstLine="640"/>
        <w:rPr>
          <w:rFonts w:ascii="仿宋_GB2312" w:eastAsia="仿宋_GB2312" w:hAnsi="楷体" w:cs="楷体"/>
          <w:bCs/>
        </w:rPr>
      </w:pPr>
      <w:r>
        <w:rPr>
          <w:rFonts w:ascii="仿宋_GB2312" w:eastAsia="仿宋_GB2312" w:hAnsi="楷体" w:cs="楷体" w:hint="eastAsia"/>
          <w:bCs/>
        </w:rPr>
        <w:t>1、提高科技创新能力</w:t>
      </w:r>
    </w:p>
    <w:p w:rsidR="00593B0F" w:rsidRDefault="00E31212">
      <w:pPr>
        <w:widowControl/>
        <w:spacing w:line="540" w:lineRule="exact"/>
        <w:ind w:firstLineChars="200" w:firstLine="640"/>
        <w:rPr>
          <w:rFonts w:ascii="仿宋_GB2312" w:eastAsia="仿宋_GB2312" w:hAnsi="楷体" w:cs="楷体"/>
          <w:bCs/>
        </w:rPr>
      </w:pPr>
      <w:r>
        <w:rPr>
          <w:rFonts w:ascii="仿宋_GB2312" w:eastAsia="仿宋_GB2312" w:hAnsi="仿宋" w:hint="eastAsia"/>
        </w:rPr>
        <w:t>2、</w:t>
      </w:r>
      <w:r>
        <w:rPr>
          <w:rFonts w:ascii="仿宋_GB2312" w:eastAsia="仿宋_GB2312" w:hAnsi="楷体" w:cs="楷体" w:hint="eastAsia"/>
          <w:bCs/>
        </w:rPr>
        <w:t>完善科研管理机制</w:t>
      </w:r>
    </w:p>
    <w:p w:rsidR="00593B0F" w:rsidRDefault="00E31212">
      <w:pPr>
        <w:widowControl/>
        <w:spacing w:line="540" w:lineRule="exact"/>
        <w:ind w:firstLineChars="200" w:firstLine="640"/>
        <w:rPr>
          <w:rFonts w:ascii="仿宋_GB2312" w:eastAsia="仿宋_GB2312" w:hAnsi="楷体" w:cs="楷体"/>
          <w:bCs/>
        </w:rPr>
      </w:pPr>
      <w:r>
        <w:rPr>
          <w:rFonts w:ascii="仿宋_GB2312" w:eastAsia="仿宋_GB2312" w:hAnsi="仿宋" w:hint="eastAsia"/>
        </w:rPr>
        <w:t>3、加强</w:t>
      </w:r>
      <w:r>
        <w:rPr>
          <w:rFonts w:ascii="仿宋_GB2312" w:eastAsia="仿宋_GB2312" w:hAnsi="楷体" w:cs="楷体" w:hint="eastAsia"/>
          <w:bCs/>
        </w:rPr>
        <w:t>创新科研平台建设</w:t>
      </w:r>
    </w:p>
    <w:p w:rsidR="00593B0F" w:rsidRDefault="00E31212">
      <w:pPr>
        <w:widowControl/>
        <w:spacing w:line="540" w:lineRule="exact"/>
        <w:ind w:firstLineChars="200" w:firstLine="640"/>
        <w:rPr>
          <w:rFonts w:ascii="仿宋_GB2312" w:eastAsia="仿宋_GB2312" w:hAnsi="楷体" w:cs="楷体"/>
          <w:bCs/>
        </w:rPr>
      </w:pPr>
      <w:r>
        <w:rPr>
          <w:rFonts w:ascii="仿宋_GB2312" w:eastAsia="仿宋_GB2312" w:hAnsi="楷体" w:cs="楷体" w:hint="eastAsia"/>
          <w:bCs/>
        </w:rPr>
        <w:t>4、提高服务现代化五大发展美好安徽建设能力</w:t>
      </w:r>
    </w:p>
    <w:p w:rsidR="00593B0F" w:rsidRDefault="00E31212">
      <w:pPr>
        <w:adjustRightInd w:val="0"/>
        <w:snapToGrid w:val="0"/>
        <w:spacing w:line="540" w:lineRule="exact"/>
        <w:ind w:firstLineChars="200" w:firstLine="640"/>
        <w:rPr>
          <w:rFonts w:ascii="仿宋_GB2312" w:eastAsia="仿宋_GB2312" w:hAnsi="仿宋"/>
        </w:rPr>
      </w:pPr>
      <w:r>
        <w:rPr>
          <w:rFonts w:ascii="仿宋_GB2312" w:eastAsia="仿宋_GB2312" w:hAnsi="仿宋" w:hint="eastAsia"/>
        </w:rPr>
        <w:t>（六）</w:t>
      </w:r>
      <w:proofErr w:type="gramStart"/>
      <w:r>
        <w:rPr>
          <w:rFonts w:ascii="仿宋_GB2312" w:eastAsia="仿宋_GB2312" w:hAnsi="仿宋" w:hint="eastAsia"/>
        </w:rPr>
        <w:t>坚持引育并举</w:t>
      </w:r>
      <w:proofErr w:type="gramEnd"/>
      <w:r>
        <w:rPr>
          <w:rFonts w:ascii="仿宋_GB2312" w:eastAsia="仿宋_GB2312" w:hAnsi="仿宋" w:hint="eastAsia"/>
        </w:rPr>
        <w:t>，提升人才队伍建设成效</w:t>
      </w:r>
    </w:p>
    <w:p w:rsidR="00593B0F" w:rsidRDefault="00E31212">
      <w:pPr>
        <w:adjustRightInd w:val="0"/>
        <w:snapToGrid w:val="0"/>
        <w:spacing w:line="540" w:lineRule="exact"/>
        <w:ind w:firstLineChars="200" w:firstLine="640"/>
        <w:rPr>
          <w:rFonts w:ascii="仿宋_GB2312" w:eastAsia="仿宋_GB2312" w:hAnsi="楷体" w:cs="楷体"/>
          <w:bCs/>
        </w:rPr>
      </w:pPr>
      <w:r>
        <w:rPr>
          <w:rFonts w:ascii="仿宋_GB2312" w:eastAsia="仿宋_GB2312" w:hAnsi="仿宋" w:hint="eastAsia"/>
        </w:rPr>
        <w:t>1、</w:t>
      </w:r>
      <w:r>
        <w:rPr>
          <w:rFonts w:ascii="仿宋_GB2312" w:eastAsia="仿宋_GB2312" w:hAnsi="楷体" w:cs="楷体" w:hint="eastAsia"/>
          <w:bCs/>
        </w:rPr>
        <w:t>加大高层次人才引进力度</w:t>
      </w:r>
    </w:p>
    <w:p w:rsidR="00593B0F" w:rsidRDefault="00E31212">
      <w:pPr>
        <w:adjustRightInd w:val="0"/>
        <w:snapToGrid w:val="0"/>
        <w:spacing w:line="540" w:lineRule="exact"/>
        <w:ind w:firstLineChars="200" w:firstLine="640"/>
        <w:rPr>
          <w:rFonts w:ascii="仿宋_GB2312" w:eastAsia="仿宋_GB2312" w:hAnsi="楷体" w:cs="楷体"/>
          <w:bCs/>
        </w:rPr>
      </w:pPr>
      <w:r>
        <w:rPr>
          <w:rFonts w:ascii="仿宋_GB2312" w:eastAsia="仿宋_GB2312" w:hAnsi="楷体" w:cs="楷体" w:hint="eastAsia"/>
          <w:bCs/>
        </w:rPr>
        <w:t>2、完善人才培育机制</w:t>
      </w:r>
    </w:p>
    <w:p w:rsidR="00593B0F" w:rsidRDefault="00E31212">
      <w:pPr>
        <w:adjustRightInd w:val="0"/>
        <w:snapToGrid w:val="0"/>
        <w:spacing w:line="540" w:lineRule="exact"/>
        <w:ind w:firstLineChars="200" w:firstLine="640"/>
        <w:rPr>
          <w:rFonts w:ascii="仿宋_GB2312" w:eastAsia="仿宋_GB2312" w:hAnsi="仿宋"/>
        </w:rPr>
      </w:pPr>
      <w:r>
        <w:rPr>
          <w:rFonts w:ascii="仿宋_GB2312" w:eastAsia="仿宋_GB2312" w:hAnsi="楷体" w:cs="楷体" w:hint="eastAsia"/>
          <w:bCs/>
        </w:rPr>
        <w:t>3、深化人事制度改革</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（七）加强国际合作交流，拓展开放办学新格局</w:t>
      </w:r>
    </w:p>
    <w:p w:rsidR="00593B0F" w:rsidRDefault="00E31212">
      <w:pPr>
        <w:spacing w:line="540" w:lineRule="exact"/>
        <w:ind w:firstLineChars="200" w:firstLine="640"/>
        <w:rPr>
          <w:rFonts w:ascii="仿宋_GB2312" w:eastAsia="仿宋_GB2312" w:hAnsi="楷体" w:cs="楷体"/>
          <w:bCs/>
        </w:rPr>
      </w:pPr>
      <w:r>
        <w:rPr>
          <w:rFonts w:ascii="仿宋_GB2312" w:eastAsia="仿宋_GB2312" w:hAnsi="仿宋" w:hint="eastAsia"/>
        </w:rPr>
        <w:t>1、</w:t>
      </w:r>
      <w:r>
        <w:rPr>
          <w:rFonts w:ascii="仿宋_GB2312" w:eastAsia="仿宋_GB2312" w:hAnsi="楷体" w:cs="楷体" w:hint="eastAsia"/>
          <w:bCs/>
        </w:rPr>
        <w:t>推进人才培养国际化</w:t>
      </w:r>
    </w:p>
    <w:p w:rsidR="00593B0F" w:rsidRDefault="00E31212">
      <w:pPr>
        <w:spacing w:line="540" w:lineRule="exact"/>
        <w:ind w:firstLineChars="200" w:firstLine="640"/>
        <w:rPr>
          <w:rFonts w:ascii="仿宋_GB2312" w:eastAsia="仿宋_GB2312" w:hAnsi="楷体" w:cs="楷体"/>
          <w:bCs/>
        </w:rPr>
      </w:pPr>
      <w:r>
        <w:rPr>
          <w:rFonts w:ascii="仿宋_GB2312" w:eastAsia="仿宋_GB2312" w:hAnsi="楷体" w:cs="楷体" w:hint="eastAsia"/>
          <w:bCs/>
        </w:rPr>
        <w:t>2、拓展国际交流工作</w:t>
      </w:r>
    </w:p>
    <w:p w:rsidR="00593B0F" w:rsidRDefault="00E31212">
      <w:pPr>
        <w:spacing w:line="540" w:lineRule="exact"/>
        <w:ind w:firstLineChars="200" w:firstLine="640"/>
        <w:rPr>
          <w:rFonts w:ascii="仿宋_GB2312" w:eastAsia="仿宋_GB2312" w:hAnsi="仿宋"/>
        </w:rPr>
      </w:pPr>
      <w:r>
        <w:rPr>
          <w:rFonts w:ascii="仿宋_GB2312" w:eastAsia="仿宋_GB2312" w:hAnsi="楷体" w:cs="楷体" w:hint="eastAsia"/>
          <w:bCs/>
        </w:rPr>
        <w:t>3、主动融入国家对外战略</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（八）推进依法治校，加快构建现代大学制度</w:t>
      </w:r>
    </w:p>
    <w:p w:rsidR="00593B0F" w:rsidRDefault="00E31212">
      <w:pPr>
        <w:spacing w:line="540" w:lineRule="exact"/>
        <w:ind w:firstLineChars="200" w:firstLine="640"/>
        <w:rPr>
          <w:rFonts w:ascii="仿宋_GB2312" w:eastAsia="仿宋_GB2312" w:hAnsi="楷体" w:cs="楷体"/>
          <w:bCs/>
        </w:rPr>
      </w:pPr>
      <w:r>
        <w:rPr>
          <w:rFonts w:ascii="仿宋_GB2312" w:eastAsia="仿宋_GB2312" w:hAnsi="仿宋" w:hint="eastAsia"/>
        </w:rPr>
        <w:t>1、</w:t>
      </w:r>
      <w:r>
        <w:rPr>
          <w:rFonts w:ascii="仿宋_GB2312" w:eastAsia="仿宋_GB2312" w:hAnsi="楷体" w:cs="楷体" w:hint="eastAsia"/>
          <w:bCs/>
        </w:rPr>
        <w:t>健全科学管理体系</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2、</w:t>
      </w:r>
      <w:r>
        <w:rPr>
          <w:rFonts w:ascii="仿宋_GB2312" w:eastAsia="仿宋_GB2312" w:hAnsi="楷体" w:cs="楷体" w:hint="eastAsia"/>
          <w:bCs/>
        </w:rPr>
        <w:t>切实提升民主管理水平</w:t>
      </w:r>
    </w:p>
    <w:p w:rsidR="00593B0F" w:rsidRDefault="00E31212">
      <w:pPr>
        <w:spacing w:line="540" w:lineRule="exact"/>
        <w:ind w:firstLineChars="200" w:firstLine="640"/>
        <w:rPr>
          <w:rFonts w:ascii="仿宋_GB2312" w:eastAsia="仿宋_GB2312" w:hAnsi="仿宋"/>
        </w:rPr>
      </w:pPr>
      <w:r>
        <w:rPr>
          <w:rFonts w:ascii="仿宋_GB2312" w:eastAsia="仿宋_GB2312" w:hAnsi="仿宋" w:hint="eastAsia"/>
        </w:rPr>
        <w:t>（九）强化资源统筹，切实增强支撑服务保障能力</w:t>
      </w:r>
    </w:p>
    <w:p w:rsidR="00593B0F" w:rsidRDefault="00E31212">
      <w:pPr>
        <w:spacing w:line="540" w:lineRule="exact"/>
        <w:ind w:firstLineChars="200" w:firstLine="640"/>
        <w:rPr>
          <w:rFonts w:ascii="仿宋_GB2312" w:eastAsia="仿宋_GB2312" w:hAnsi="仿宋_GB2312" w:cs="仿宋_GB2312"/>
          <w:bCs/>
        </w:rPr>
      </w:pPr>
      <w:r>
        <w:rPr>
          <w:rFonts w:ascii="仿宋_GB2312" w:eastAsia="仿宋_GB2312" w:hAnsi="仿宋" w:hint="eastAsia"/>
        </w:rPr>
        <w:t>1、</w:t>
      </w:r>
      <w:r>
        <w:rPr>
          <w:rFonts w:ascii="仿宋_GB2312" w:eastAsia="仿宋_GB2312" w:hAnsi="仿宋_GB2312" w:cs="仿宋_GB2312" w:hint="eastAsia"/>
          <w:bCs/>
        </w:rPr>
        <w:t>优化办学资源配置</w:t>
      </w:r>
    </w:p>
    <w:p w:rsidR="00593B0F" w:rsidRDefault="00E31212">
      <w:pPr>
        <w:spacing w:line="540" w:lineRule="exact"/>
        <w:ind w:firstLineChars="200" w:firstLine="640"/>
        <w:rPr>
          <w:rFonts w:ascii="仿宋_GB2312" w:eastAsia="仿宋_GB2312" w:hAnsi="仿宋"/>
        </w:rPr>
      </w:pPr>
      <w:r>
        <w:rPr>
          <w:rFonts w:ascii="仿宋_GB2312" w:eastAsia="仿宋_GB2312" w:hAnsi="仿宋_GB2312" w:cs="仿宋_GB2312" w:hint="eastAsia"/>
          <w:bCs/>
        </w:rPr>
        <w:t>2、抓好基础设施建设</w:t>
      </w:r>
    </w:p>
    <w:p w:rsidR="00593B0F" w:rsidRDefault="00593B0F">
      <w:pPr>
        <w:pStyle w:val="a5"/>
        <w:adjustRightInd w:val="0"/>
        <w:snapToGrid w:val="0"/>
        <w:spacing w:before="0" w:beforeAutospacing="0" w:after="0" w:afterAutospacing="0"/>
        <w:rPr>
          <w:rFonts w:ascii="仿宋_GB2312" w:eastAsia="仿宋_GB2312" w:hAnsi="仿宋" w:cs="Times New Roman"/>
          <w:kern w:val="2"/>
          <w:sz w:val="32"/>
        </w:rPr>
      </w:pPr>
    </w:p>
    <w:p w:rsidR="00593B0F" w:rsidRDefault="00E31212">
      <w:pPr>
        <w:pStyle w:val="a5"/>
        <w:adjustRightInd w:val="0"/>
        <w:snapToGrid w:val="0"/>
        <w:spacing w:before="0" w:beforeAutospacing="0" w:after="0" w:afterAutospacing="0" w:line="360" w:lineRule="auto"/>
        <w:jc w:val="center"/>
        <w:rPr>
          <w:rFonts w:ascii="黑体" w:eastAsia="黑体" w:hAnsi="黑体"/>
          <w:bCs/>
          <w:sz w:val="36"/>
          <w:szCs w:val="36"/>
        </w:rPr>
      </w:pPr>
      <w:r>
        <w:rPr>
          <w:rFonts w:ascii="黑体" w:eastAsia="黑体" w:hAnsi="黑体" w:hint="eastAsia"/>
          <w:bCs/>
          <w:sz w:val="36"/>
          <w:szCs w:val="36"/>
        </w:rPr>
        <w:br w:type="page"/>
      </w:r>
      <w:r>
        <w:rPr>
          <w:rFonts w:ascii="黑体" w:eastAsia="黑体" w:hAnsi="黑体" w:hint="eastAsia"/>
          <w:bCs/>
          <w:sz w:val="36"/>
          <w:szCs w:val="36"/>
        </w:rPr>
        <w:lastRenderedPageBreak/>
        <w:t>第二部分 2019年部门预算表</w:t>
      </w:r>
    </w:p>
    <w:tbl>
      <w:tblPr>
        <w:tblW w:w="9801" w:type="dxa"/>
        <w:jc w:val="center"/>
        <w:tblLayout w:type="fixed"/>
        <w:tblCellMar>
          <w:left w:w="0" w:type="dxa"/>
          <w:right w:w="0" w:type="dxa"/>
        </w:tblCellMar>
        <w:tblLook w:val="04A0"/>
      </w:tblPr>
      <w:tblGrid>
        <w:gridCol w:w="2730"/>
        <w:gridCol w:w="975"/>
        <w:gridCol w:w="2865"/>
        <w:gridCol w:w="975"/>
        <w:gridCol w:w="945"/>
        <w:gridCol w:w="621"/>
        <w:gridCol w:w="690"/>
      </w:tblGrid>
      <w:tr w:rsidR="00593B0F">
        <w:trPr>
          <w:trHeight w:val="23"/>
          <w:jc w:val="center"/>
        </w:trPr>
        <w:tc>
          <w:tcPr>
            <w:tcW w:w="2730" w:type="dxa"/>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22"/>
                <w:szCs w:val="22"/>
              </w:rPr>
            </w:pPr>
          </w:p>
        </w:tc>
        <w:tc>
          <w:tcPr>
            <w:tcW w:w="975" w:type="dxa"/>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24"/>
              </w:rPr>
            </w:pPr>
          </w:p>
        </w:tc>
        <w:tc>
          <w:tcPr>
            <w:tcW w:w="2865" w:type="dxa"/>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24"/>
              </w:rPr>
            </w:pPr>
          </w:p>
        </w:tc>
        <w:tc>
          <w:tcPr>
            <w:tcW w:w="975" w:type="dxa"/>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24"/>
              </w:rPr>
            </w:pPr>
          </w:p>
        </w:tc>
        <w:tc>
          <w:tcPr>
            <w:tcW w:w="945" w:type="dxa"/>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24"/>
              </w:rPr>
            </w:pPr>
          </w:p>
        </w:tc>
        <w:tc>
          <w:tcPr>
            <w:tcW w:w="1311" w:type="dxa"/>
            <w:gridSpan w:val="2"/>
            <w:tcBorders>
              <w:top w:val="nil"/>
              <w:left w:val="nil"/>
              <w:bottom w:val="nil"/>
              <w:right w:val="nil"/>
            </w:tcBorders>
            <w:tcMar>
              <w:top w:w="15" w:type="dxa"/>
              <w:left w:w="15" w:type="dxa"/>
              <w:right w:w="15" w:type="dxa"/>
            </w:tcMar>
            <w:vAlign w:val="bottom"/>
          </w:tcPr>
          <w:p w:rsidR="00593B0F" w:rsidRDefault="00E31212">
            <w:pPr>
              <w:widowControl/>
              <w:spacing w:line="0" w:lineRule="atLeast"/>
              <w:jc w:val="right"/>
              <w:textAlignment w:val="bottom"/>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部门公开表1</w:t>
            </w:r>
          </w:p>
        </w:tc>
      </w:tr>
      <w:tr w:rsidR="00593B0F">
        <w:trPr>
          <w:trHeight w:val="23"/>
          <w:jc w:val="center"/>
        </w:trPr>
        <w:tc>
          <w:tcPr>
            <w:tcW w:w="9801" w:type="dxa"/>
            <w:gridSpan w:val="7"/>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center"/>
              <w:rPr>
                <w:rFonts w:ascii="宋体" w:hAnsi="宋体" w:cs="宋体"/>
                <w:color w:val="000000"/>
                <w:sz w:val="20"/>
                <w:szCs w:val="20"/>
              </w:rPr>
            </w:pPr>
            <w:r>
              <w:rPr>
                <w:rFonts w:ascii="华文中宋" w:eastAsia="华文中宋" w:hAnsi="华文中宋" w:cs="华文中宋" w:hint="eastAsia"/>
                <w:b/>
                <w:color w:val="000000"/>
                <w:kern w:val="0"/>
                <w:sz w:val="36"/>
                <w:szCs w:val="36"/>
              </w:rPr>
              <w:t>安徽大学2019年财政拨款收支总表</w:t>
            </w:r>
          </w:p>
        </w:tc>
      </w:tr>
      <w:tr w:rsidR="00593B0F">
        <w:trPr>
          <w:trHeight w:val="23"/>
          <w:jc w:val="center"/>
        </w:trPr>
        <w:tc>
          <w:tcPr>
            <w:tcW w:w="2730"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left"/>
              <w:rPr>
                <w:rFonts w:asciiTheme="minorEastAsia" w:eastAsiaTheme="minorEastAsia" w:hAnsiTheme="minorEastAsia" w:cstheme="minorEastAsia"/>
                <w:color w:val="000000"/>
                <w:sz w:val="20"/>
                <w:szCs w:val="20"/>
              </w:rPr>
            </w:pPr>
          </w:p>
        </w:tc>
        <w:tc>
          <w:tcPr>
            <w:tcW w:w="97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left"/>
              <w:rPr>
                <w:rFonts w:asciiTheme="minorEastAsia" w:eastAsiaTheme="minorEastAsia" w:hAnsiTheme="minorEastAsia" w:cstheme="minorEastAsia"/>
                <w:color w:val="000000"/>
                <w:sz w:val="20"/>
                <w:szCs w:val="20"/>
              </w:rPr>
            </w:pPr>
          </w:p>
        </w:tc>
        <w:tc>
          <w:tcPr>
            <w:tcW w:w="286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0"/>
                <w:szCs w:val="20"/>
              </w:rPr>
            </w:pPr>
          </w:p>
        </w:tc>
        <w:tc>
          <w:tcPr>
            <w:tcW w:w="97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0"/>
                <w:szCs w:val="20"/>
              </w:rPr>
            </w:pPr>
          </w:p>
        </w:tc>
        <w:tc>
          <w:tcPr>
            <w:tcW w:w="945" w:type="dxa"/>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24"/>
              </w:rPr>
            </w:pPr>
          </w:p>
        </w:tc>
        <w:tc>
          <w:tcPr>
            <w:tcW w:w="1311" w:type="dxa"/>
            <w:gridSpan w:val="2"/>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单位：万元</w:t>
            </w:r>
          </w:p>
        </w:tc>
      </w:tr>
      <w:tr w:rsidR="00593B0F">
        <w:trPr>
          <w:trHeight w:val="23"/>
          <w:jc w:val="center"/>
        </w:trPr>
        <w:tc>
          <w:tcPr>
            <w:tcW w:w="370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18"/>
                <w:szCs w:val="18"/>
              </w:rPr>
            </w:pPr>
            <w:r>
              <w:rPr>
                <w:rFonts w:asciiTheme="minorEastAsia" w:eastAsiaTheme="minorEastAsia" w:hAnsiTheme="minorEastAsia" w:cstheme="minorEastAsia" w:hint="eastAsia"/>
                <w:b/>
                <w:color w:val="000000"/>
                <w:kern w:val="0"/>
                <w:sz w:val="18"/>
                <w:szCs w:val="18"/>
              </w:rPr>
              <w:t>收   入</w:t>
            </w:r>
          </w:p>
        </w:tc>
        <w:tc>
          <w:tcPr>
            <w:tcW w:w="6096"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18"/>
                <w:szCs w:val="18"/>
              </w:rPr>
            </w:pPr>
            <w:r>
              <w:rPr>
                <w:rFonts w:asciiTheme="minorEastAsia" w:eastAsiaTheme="minorEastAsia" w:hAnsiTheme="minorEastAsia" w:cstheme="minorEastAsia" w:hint="eastAsia"/>
                <w:b/>
                <w:color w:val="000000"/>
                <w:kern w:val="0"/>
                <w:sz w:val="18"/>
                <w:szCs w:val="18"/>
              </w:rPr>
              <w:t>支  出</w:t>
            </w:r>
          </w:p>
        </w:tc>
      </w:tr>
      <w:tr w:rsidR="00593B0F">
        <w:trPr>
          <w:trHeight w:val="2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18"/>
                <w:szCs w:val="18"/>
              </w:rPr>
            </w:pPr>
            <w:r>
              <w:rPr>
                <w:rFonts w:asciiTheme="minorEastAsia" w:eastAsiaTheme="minorEastAsia" w:hAnsiTheme="minorEastAsia" w:cstheme="minorEastAsia" w:hint="eastAsia"/>
                <w:b/>
                <w:color w:val="000000"/>
                <w:kern w:val="0"/>
                <w:sz w:val="18"/>
                <w:szCs w:val="18"/>
              </w:rPr>
              <w:t>项目</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18"/>
                <w:szCs w:val="18"/>
              </w:rPr>
            </w:pPr>
            <w:r>
              <w:rPr>
                <w:rFonts w:asciiTheme="minorEastAsia" w:eastAsiaTheme="minorEastAsia" w:hAnsiTheme="minorEastAsia" w:cstheme="minorEastAsia" w:hint="eastAsia"/>
                <w:b/>
                <w:color w:val="000000"/>
                <w:kern w:val="0"/>
                <w:sz w:val="18"/>
                <w:szCs w:val="18"/>
              </w:rPr>
              <w:t>预算数</w:t>
            </w: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18"/>
                <w:szCs w:val="18"/>
              </w:rPr>
            </w:pPr>
            <w:r>
              <w:rPr>
                <w:rFonts w:asciiTheme="minorEastAsia" w:eastAsiaTheme="minorEastAsia" w:hAnsiTheme="minorEastAsia" w:cstheme="minorEastAsia" w:hint="eastAsia"/>
                <w:b/>
                <w:color w:val="000000"/>
                <w:kern w:val="0"/>
                <w:sz w:val="18"/>
                <w:szCs w:val="18"/>
              </w:rPr>
              <w:t>项目</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18"/>
                <w:szCs w:val="18"/>
              </w:rPr>
            </w:pPr>
            <w:r>
              <w:rPr>
                <w:rFonts w:asciiTheme="minorEastAsia" w:eastAsiaTheme="minorEastAsia" w:hAnsiTheme="minorEastAsia" w:cstheme="minorEastAsia" w:hint="eastAsia"/>
                <w:b/>
                <w:color w:val="000000"/>
                <w:kern w:val="0"/>
                <w:sz w:val="18"/>
                <w:szCs w:val="18"/>
              </w:rPr>
              <w:t>合计</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18"/>
                <w:szCs w:val="18"/>
              </w:rPr>
            </w:pPr>
            <w:r>
              <w:rPr>
                <w:rFonts w:asciiTheme="minorEastAsia" w:eastAsiaTheme="minorEastAsia" w:hAnsiTheme="minorEastAsia" w:cstheme="minorEastAsia" w:hint="eastAsia"/>
                <w:b/>
                <w:color w:val="000000"/>
                <w:kern w:val="0"/>
                <w:sz w:val="18"/>
                <w:szCs w:val="18"/>
              </w:rPr>
              <w:t>一般公共预算财政拨款</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18"/>
                <w:szCs w:val="18"/>
              </w:rPr>
            </w:pPr>
            <w:r>
              <w:rPr>
                <w:rFonts w:asciiTheme="minorEastAsia" w:eastAsiaTheme="minorEastAsia" w:hAnsiTheme="minorEastAsia" w:cstheme="minorEastAsia" w:hint="eastAsia"/>
                <w:b/>
                <w:color w:val="000000"/>
                <w:kern w:val="0"/>
                <w:sz w:val="18"/>
                <w:szCs w:val="18"/>
              </w:rPr>
              <w:t>政府性基金预算财政拨款</w:t>
            </w: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18"/>
                <w:szCs w:val="18"/>
              </w:rPr>
            </w:pPr>
            <w:r>
              <w:rPr>
                <w:rFonts w:asciiTheme="minorEastAsia" w:eastAsiaTheme="minorEastAsia" w:hAnsiTheme="minorEastAsia" w:cstheme="minorEastAsia" w:hint="eastAsia"/>
                <w:b/>
                <w:color w:val="000000"/>
                <w:kern w:val="0"/>
                <w:sz w:val="18"/>
                <w:szCs w:val="18"/>
              </w:rPr>
              <w:t>国有资本经营预算财政拨款</w:t>
            </w: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一、一般公共预算拨款收入</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32,553.5</w:t>
            </w: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一、一般公共服务支出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 xml:space="preserve">   其中： 国库管理非税收入</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321.5</w:t>
            </w: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二、外交支出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二、政府性基金预算拨款收入</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三、国防支出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三、国有资本经营预算拨款收入</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四、公共安全支出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五、教育支出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31,230.5</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31,230.5</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六、科学技术支出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七、文化旅游体育与传媒支出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八、社会保障和就业支出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958.7</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958.7</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九、卫生健康支出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227.5</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227.5</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十、节能环保支出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十一、城乡社区支出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十二、农林水支出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十三、交通运输支出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十四、资源勘探信息等支出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十五、商业服务业等支出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十六、金融支出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十七、援助其他地区支出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十八、自然资源海洋气象等支出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十九、住房保障支出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136.8</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136.8</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二十、粮油物资储备支出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二十一、灾害防治及应急管理支出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二十二、其他支出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二十三、债务还本支出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二十四、债务付息支出</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center"/>
              <w:textAlignment w:val="bottom"/>
              <w:rPr>
                <w:rFonts w:asciiTheme="minorEastAsia" w:eastAsiaTheme="minorEastAsia" w:hAnsiTheme="minorEastAsia" w:cstheme="minorEastAsia"/>
                <w:b/>
                <w:color w:val="000000"/>
                <w:sz w:val="18"/>
                <w:szCs w:val="18"/>
              </w:rPr>
            </w:pPr>
            <w:r>
              <w:rPr>
                <w:rFonts w:asciiTheme="minorEastAsia" w:eastAsiaTheme="minorEastAsia" w:hAnsiTheme="minorEastAsia" w:cstheme="minorEastAsia" w:hint="eastAsia"/>
                <w:b/>
                <w:color w:val="000000"/>
                <w:kern w:val="0"/>
                <w:sz w:val="18"/>
                <w:szCs w:val="18"/>
              </w:rPr>
              <w:t>本年收入小计</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32,553.5</w:t>
            </w: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center"/>
              <w:textAlignment w:val="bottom"/>
              <w:rPr>
                <w:rFonts w:asciiTheme="minorEastAsia" w:eastAsiaTheme="minorEastAsia" w:hAnsiTheme="minorEastAsia" w:cstheme="minorEastAsia"/>
                <w:b/>
                <w:color w:val="000000"/>
                <w:sz w:val="18"/>
                <w:szCs w:val="18"/>
              </w:rPr>
            </w:pPr>
            <w:r>
              <w:rPr>
                <w:rFonts w:asciiTheme="minorEastAsia" w:eastAsiaTheme="minorEastAsia" w:hAnsiTheme="minorEastAsia" w:cstheme="minorEastAsia" w:hint="eastAsia"/>
                <w:b/>
                <w:color w:val="000000"/>
                <w:kern w:val="0"/>
                <w:sz w:val="18"/>
                <w:szCs w:val="18"/>
              </w:rPr>
              <w:t>本年支出小计</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18"/>
                <w:szCs w:val="18"/>
              </w:rPr>
            </w:pPr>
          </w:p>
        </w:tc>
        <w:tc>
          <w:tcPr>
            <w:tcW w:w="945" w:type="dxa"/>
            <w:tcBorders>
              <w:top w:val="nil"/>
              <w:left w:val="nil"/>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18"/>
                <w:szCs w:val="18"/>
              </w:rPr>
            </w:pPr>
          </w:p>
        </w:tc>
        <w:tc>
          <w:tcPr>
            <w:tcW w:w="621" w:type="dxa"/>
            <w:tcBorders>
              <w:top w:val="nil"/>
              <w:left w:val="nil"/>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上年结转</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结转下年</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nil"/>
              <w:left w:val="nil"/>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621" w:type="dxa"/>
            <w:tcBorders>
              <w:top w:val="nil"/>
              <w:left w:val="nil"/>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 xml:space="preserve">　一般公共预算</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 xml:space="preserve">　一般公共预算</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nil"/>
              <w:left w:val="nil"/>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621" w:type="dxa"/>
            <w:tcBorders>
              <w:top w:val="nil"/>
              <w:left w:val="nil"/>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68"/>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 xml:space="preserve">　政府性基金预算</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 xml:space="preserve">　政府性基金预算</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nil"/>
              <w:left w:val="nil"/>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621" w:type="dxa"/>
            <w:tcBorders>
              <w:top w:val="nil"/>
              <w:left w:val="nil"/>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 xml:space="preserve">  国有资本经营预算</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 xml:space="preserve">  国有资本经营预算</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nil"/>
              <w:left w:val="nil"/>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621" w:type="dxa"/>
            <w:tcBorders>
              <w:top w:val="nil"/>
              <w:left w:val="nil"/>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 xml:space="preserve">　</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bottom"/>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rPr>
              <w:t xml:space="preserve">　</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r>
      <w:tr w:rsidR="00593B0F">
        <w:trPr>
          <w:trHeight w:val="283"/>
          <w:jc w:val="center"/>
        </w:trPr>
        <w:tc>
          <w:tcPr>
            <w:tcW w:w="27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center"/>
              <w:textAlignment w:val="bottom"/>
              <w:rPr>
                <w:rFonts w:asciiTheme="minorEastAsia" w:eastAsiaTheme="minorEastAsia" w:hAnsiTheme="minorEastAsia" w:cstheme="minorEastAsia"/>
                <w:b/>
                <w:color w:val="000000"/>
                <w:sz w:val="18"/>
                <w:szCs w:val="18"/>
              </w:rPr>
            </w:pPr>
            <w:r>
              <w:rPr>
                <w:rFonts w:asciiTheme="minorEastAsia" w:eastAsiaTheme="minorEastAsia" w:hAnsiTheme="minorEastAsia" w:cstheme="minorEastAsia" w:hint="eastAsia"/>
                <w:b/>
                <w:color w:val="000000"/>
                <w:kern w:val="0"/>
                <w:sz w:val="18"/>
                <w:szCs w:val="18"/>
              </w:rPr>
              <w:t>收入总计</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32,553.5</w:t>
            </w:r>
          </w:p>
        </w:tc>
        <w:tc>
          <w:tcPr>
            <w:tcW w:w="286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center"/>
              <w:textAlignment w:val="bottom"/>
              <w:rPr>
                <w:rFonts w:asciiTheme="minorEastAsia" w:eastAsiaTheme="minorEastAsia" w:hAnsiTheme="minorEastAsia" w:cstheme="minorEastAsia"/>
                <w:b/>
                <w:color w:val="000000"/>
                <w:sz w:val="18"/>
                <w:szCs w:val="18"/>
              </w:rPr>
            </w:pPr>
            <w:r>
              <w:rPr>
                <w:rFonts w:asciiTheme="minorEastAsia" w:eastAsiaTheme="minorEastAsia" w:hAnsiTheme="minorEastAsia" w:cstheme="minorEastAsia" w:hint="eastAsia"/>
                <w:b/>
                <w:color w:val="000000"/>
                <w:kern w:val="0"/>
                <w:sz w:val="18"/>
                <w:szCs w:val="18"/>
              </w:rPr>
              <w:t>支出总计</w:t>
            </w:r>
          </w:p>
        </w:tc>
        <w:tc>
          <w:tcPr>
            <w:tcW w:w="9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32,553.5</w:t>
            </w:r>
          </w:p>
        </w:tc>
        <w:tc>
          <w:tcPr>
            <w:tcW w:w="9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32,553.5</w:t>
            </w:r>
          </w:p>
        </w:tc>
        <w:tc>
          <w:tcPr>
            <w:tcW w:w="62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18"/>
                <w:szCs w:val="18"/>
              </w:rPr>
            </w:pPr>
          </w:p>
        </w:tc>
        <w:tc>
          <w:tcPr>
            <w:tcW w:w="6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r>
    </w:tbl>
    <w:p w:rsidR="00593B0F" w:rsidRDefault="00593B0F">
      <w:pPr>
        <w:pStyle w:val="a5"/>
        <w:adjustRightInd w:val="0"/>
        <w:snapToGrid w:val="0"/>
        <w:spacing w:before="0" w:beforeAutospacing="0" w:after="0" w:afterAutospacing="0" w:line="360" w:lineRule="auto"/>
        <w:jc w:val="center"/>
        <w:rPr>
          <w:rFonts w:ascii="黑体" w:eastAsia="黑体" w:hAnsi="黑体"/>
          <w:bCs/>
          <w:sz w:val="16"/>
          <w:szCs w:val="16"/>
        </w:rPr>
      </w:pPr>
    </w:p>
    <w:tbl>
      <w:tblPr>
        <w:tblW w:w="9273" w:type="dxa"/>
        <w:jc w:val="center"/>
        <w:tblLayout w:type="fixed"/>
        <w:tblCellMar>
          <w:left w:w="0" w:type="dxa"/>
          <w:right w:w="0" w:type="dxa"/>
        </w:tblCellMar>
        <w:tblLook w:val="04A0"/>
      </w:tblPr>
      <w:tblGrid>
        <w:gridCol w:w="1155"/>
        <w:gridCol w:w="4620"/>
        <w:gridCol w:w="1290"/>
        <w:gridCol w:w="1098"/>
        <w:gridCol w:w="1110"/>
      </w:tblGrid>
      <w:tr w:rsidR="00593B0F">
        <w:trPr>
          <w:trHeight w:val="23"/>
          <w:jc w:val="center"/>
        </w:trPr>
        <w:tc>
          <w:tcPr>
            <w:tcW w:w="115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2"/>
                <w:szCs w:val="22"/>
              </w:rPr>
            </w:pPr>
          </w:p>
        </w:tc>
        <w:tc>
          <w:tcPr>
            <w:tcW w:w="4620"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4"/>
              </w:rPr>
            </w:pPr>
          </w:p>
        </w:tc>
        <w:tc>
          <w:tcPr>
            <w:tcW w:w="1290"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4"/>
              </w:rPr>
            </w:pPr>
          </w:p>
        </w:tc>
        <w:tc>
          <w:tcPr>
            <w:tcW w:w="2208" w:type="dxa"/>
            <w:gridSpan w:val="2"/>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部门公开表2</w:t>
            </w:r>
          </w:p>
        </w:tc>
      </w:tr>
      <w:tr w:rsidR="00593B0F">
        <w:trPr>
          <w:trHeight w:val="23"/>
          <w:jc w:val="center"/>
        </w:trPr>
        <w:tc>
          <w:tcPr>
            <w:tcW w:w="9273" w:type="dxa"/>
            <w:gridSpan w:val="5"/>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center"/>
              <w:textAlignment w:val="center"/>
              <w:rPr>
                <w:rFonts w:ascii="华文中宋" w:eastAsia="华文中宋" w:hAnsi="华文中宋" w:cs="华文中宋"/>
                <w:b/>
                <w:color w:val="000000"/>
                <w:sz w:val="36"/>
                <w:szCs w:val="36"/>
              </w:rPr>
            </w:pPr>
            <w:r>
              <w:rPr>
                <w:rFonts w:ascii="华文中宋" w:eastAsia="华文中宋" w:hAnsi="华文中宋" w:cs="华文中宋" w:hint="eastAsia"/>
                <w:b/>
                <w:color w:val="000000"/>
                <w:kern w:val="0"/>
                <w:sz w:val="36"/>
                <w:szCs w:val="36"/>
              </w:rPr>
              <w:t>安徽大学2019年一般公共预算支出表</w:t>
            </w:r>
          </w:p>
        </w:tc>
      </w:tr>
      <w:tr w:rsidR="00593B0F">
        <w:trPr>
          <w:trHeight w:val="23"/>
          <w:jc w:val="center"/>
        </w:trPr>
        <w:tc>
          <w:tcPr>
            <w:tcW w:w="115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left"/>
              <w:rPr>
                <w:rFonts w:asciiTheme="minorEastAsia" w:eastAsiaTheme="minorEastAsia" w:hAnsiTheme="minorEastAsia" w:cstheme="minorEastAsia"/>
                <w:color w:val="000000"/>
                <w:sz w:val="20"/>
                <w:szCs w:val="20"/>
              </w:rPr>
            </w:pPr>
          </w:p>
        </w:tc>
        <w:tc>
          <w:tcPr>
            <w:tcW w:w="4620"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4"/>
              </w:rPr>
            </w:pPr>
          </w:p>
        </w:tc>
        <w:tc>
          <w:tcPr>
            <w:tcW w:w="1290"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4"/>
              </w:rPr>
            </w:pPr>
          </w:p>
        </w:tc>
        <w:tc>
          <w:tcPr>
            <w:tcW w:w="2208" w:type="dxa"/>
            <w:gridSpan w:val="2"/>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单位：万元</w:t>
            </w:r>
          </w:p>
        </w:tc>
      </w:tr>
      <w:tr w:rsidR="00593B0F">
        <w:trPr>
          <w:trHeight w:val="23"/>
          <w:jc w:val="center"/>
        </w:trPr>
        <w:tc>
          <w:tcPr>
            <w:tcW w:w="57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功能分类科目</w:t>
            </w:r>
          </w:p>
        </w:tc>
        <w:tc>
          <w:tcPr>
            <w:tcW w:w="349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预算数</w:t>
            </w:r>
          </w:p>
        </w:tc>
      </w:tr>
      <w:tr w:rsidR="00593B0F">
        <w:trPr>
          <w:trHeight w:val="23"/>
          <w:jc w:val="center"/>
        </w:trPr>
        <w:tc>
          <w:tcPr>
            <w:tcW w:w="1155"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科目编码</w:t>
            </w:r>
          </w:p>
        </w:tc>
        <w:tc>
          <w:tcPr>
            <w:tcW w:w="462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科目名称</w:t>
            </w:r>
          </w:p>
        </w:tc>
        <w:tc>
          <w:tcPr>
            <w:tcW w:w="129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合计</w:t>
            </w:r>
          </w:p>
        </w:tc>
        <w:tc>
          <w:tcPr>
            <w:tcW w:w="1098"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基本支出</w:t>
            </w:r>
          </w:p>
        </w:tc>
        <w:tc>
          <w:tcPr>
            <w:tcW w:w="111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项目支出</w:t>
            </w:r>
          </w:p>
        </w:tc>
      </w:tr>
      <w:tr w:rsidR="00593B0F">
        <w:trPr>
          <w:trHeight w:val="23"/>
          <w:jc w:val="center"/>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hint="eastAsia"/>
                <w:sz w:val="22"/>
                <w:szCs w:val="22"/>
              </w:rPr>
              <w:t xml:space="preserve">　</w:t>
            </w:r>
          </w:p>
        </w:tc>
        <w:tc>
          <w:tcPr>
            <w:tcW w:w="46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593B0F">
            <w:pPr>
              <w:rPr>
                <w:rFonts w:ascii="宋体" w:eastAsia="宋体" w:hAnsi="宋体" w:cs="宋体"/>
                <w:sz w:val="22"/>
                <w:szCs w:val="22"/>
              </w:rPr>
            </w:pPr>
          </w:p>
        </w:tc>
        <w:tc>
          <w:tcPr>
            <w:tcW w:w="12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593B0F">
            <w:pPr>
              <w:jc w:val="right"/>
              <w:rPr>
                <w:rFonts w:ascii="宋体" w:eastAsia="宋体" w:hAnsi="宋体" w:cs="宋体"/>
                <w:sz w:val="22"/>
                <w:szCs w:val="22"/>
              </w:rPr>
            </w:pPr>
          </w:p>
        </w:tc>
        <w:tc>
          <w:tcPr>
            <w:tcW w:w="1098" w:type="dxa"/>
            <w:tcBorders>
              <w:top w:val="single" w:sz="4" w:space="0" w:color="000000"/>
              <w:left w:val="nil"/>
              <w:bottom w:val="single" w:sz="4" w:space="0" w:color="000000"/>
              <w:right w:val="nil"/>
            </w:tcBorders>
            <w:tcMar>
              <w:top w:w="15" w:type="dxa"/>
              <w:left w:w="15" w:type="dxa"/>
              <w:right w:w="15" w:type="dxa"/>
            </w:tcMar>
            <w:vAlign w:val="center"/>
          </w:tcPr>
          <w:p w:rsidR="00593B0F" w:rsidRDefault="00593B0F">
            <w:pPr>
              <w:jc w:val="right"/>
              <w:rPr>
                <w:rFonts w:ascii="宋体" w:eastAsia="宋体" w:hAnsi="宋体" w:cs="宋体"/>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宋体" w:eastAsia="宋体" w:hAnsi="宋体" w:cs="宋体"/>
                <w:sz w:val="22"/>
                <w:szCs w:val="22"/>
              </w:rPr>
            </w:pPr>
          </w:p>
        </w:tc>
      </w:tr>
      <w:tr w:rsidR="00593B0F">
        <w:trPr>
          <w:trHeight w:val="23"/>
          <w:jc w:val="center"/>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205</w:t>
            </w:r>
          </w:p>
        </w:tc>
        <w:tc>
          <w:tcPr>
            <w:tcW w:w="46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教育支出</w:t>
            </w:r>
          </w:p>
        </w:tc>
        <w:tc>
          <w:tcPr>
            <w:tcW w:w="12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31,230.5 </w:t>
            </w:r>
          </w:p>
        </w:tc>
        <w:tc>
          <w:tcPr>
            <w:tcW w:w="1098" w:type="dxa"/>
            <w:tcBorders>
              <w:top w:val="single" w:sz="4" w:space="0" w:color="000000"/>
              <w:left w:val="nil"/>
              <w:bottom w:val="single" w:sz="4" w:space="0" w:color="000000"/>
              <w:right w:val="nil"/>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25,117.4 </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6,113.1 </w:t>
            </w:r>
          </w:p>
        </w:tc>
      </w:tr>
      <w:tr w:rsidR="00593B0F">
        <w:trPr>
          <w:trHeight w:val="23"/>
          <w:jc w:val="center"/>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20502</w:t>
            </w:r>
          </w:p>
        </w:tc>
        <w:tc>
          <w:tcPr>
            <w:tcW w:w="46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普通教育</w:t>
            </w:r>
          </w:p>
        </w:tc>
        <w:tc>
          <w:tcPr>
            <w:tcW w:w="12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31,230.5 </w:t>
            </w:r>
          </w:p>
        </w:tc>
        <w:tc>
          <w:tcPr>
            <w:tcW w:w="1098" w:type="dxa"/>
            <w:tcBorders>
              <w:top w:val="single" w:sz="4" w:space="0" w:color="000000"/>
              <w:left w:val="nil"/>
              <w:bottom w:val="single" w:sz="4" w:space="0" w:color="000000"/>
              <w:right w:val="nil"/>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25,117.4 </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6,113.1 </w:t>
            </w:r>
          </w:p>
        </w:tc>
      </w:tr>
      <w:tr w:rsidR="00593B0F">
        <w:trPr>
          <w:trHeight w:val="23"/>
          <w:jc w:val="center"/>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2050205</w:t>
            </w:r>
          </w:p>
        </w:tc>
        <w:tc>
          <w:tcPr>
            <w:tcW w:w="46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高等教育</w:t>
            </w:r>
          </w:p>
        </w:tc>
        <w:tc>
          <w:tcPr>
            <w:tcW w:w="12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31,230.5 </w:t>
            </w:r>
          </w:p>
        </w:tc>
        <w:tc>
          <w:tcPr>
            <w:tcW w:w="1098" w:type="dxa"/>
            <w:tcBorders>
              <w:top w:val="single" w:sz="4" w:space="0" w:color="000000"/>
              <w:left w:val="nil"/>
              <w:bottom w:val="single" w:sz="4" w:space="0" w:color="000000"/>
              <w:right w:val="nil"/>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25,117.4 </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6,113.1 </w:t>
            </w:r>
          </w:p>
        </w:tc>
      </w:tr>
      <w:tr w:rsidR="00593B0F">
        <w:trPr>
          <w:trHeight w:val="23"/>
          <w:jc w:val="center"/>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208</w:t>
            </w:r>
          </w:p>
        </w:tc>
        <w:tc>
          <w:tcPr>
            <w:tcW w:w="46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社会保障和就业支出</w:t>
            </w:r>
          </w:p>
        </w:tc>
        <w:tc>
          <w:tcPr>
            <w:tcW w:w="12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958.7 </w:t>
            </w:r>
          </w:p>
        </w:tc>
        <w:tc>
          <w:tcPr>
            <w:tcW w:w="1098" w:type="dxa"/>
            <w:tcBorders>
              <w:top w:val="single" w:sz="4" w:space="0" w:color="000000"/>
              <w:left w:val="nil"/>
              <w:bottom w:val="single" w:sz="4" w:space="0" w:color="000000"/>
              <w:right w:val="nil"/>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958.7 </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3"/>
          <w:jc w:val="center"/>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20805</w:t>
            </w:r>
          </w:p>
        </w:tc>
        <w:tc>
          <w:tcPr>
            <w:tcW w:w="46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行政事业单位离退休</w:t>
            </w:r>
          </w:p>
        </w:tc>
        <w:tc>
          <w:tcPr>
            <w:tcW w:w="12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958.7 </w:t>
            </w:r>
          </w:p>
        </w:tc>
        <w:tc>
          <w:tcPr>
            <w:tcW w:w="1098" w:type="dxa"/>
            <w:tcBorders>
              <w:top w:val="single" w:sz="4" w:space="0" w:color="000000"/>
              <w:left w:val="nil"/>
              <w:bottom w:val="single" w:sz="4" w:space="0" w:color="000000"/>
              <w:right w:val="nil"/>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958.7 </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3"/>
          <w:jc w:val="center"/>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2080502</w:t>
            </w:r>
          </w:p>
        </w:tc>
        <w:tc>
          <w:tcPr>
            <w:tcW w:w="46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事业单位离退休</w:t>
            </w:r>
          </w:p>
        </w:tc>
        <w:tc>
          <w:tcPr>
            <w:tcW w:w="12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958.7 </w:t>
            </w:r>
          </w:p>
        </w:tc>
        <w:tc>
          <w:tcPr>
            <w:tcW w:w="1098" w:type="dxa"/>
            <w:tcBorders>
              <w:top w:val="single" w:sz="4" w:space="0" w:color="000000"/>
              <w:left w:val="nil"/>
              <w:bottom w:val="single" w:sz="4" w:space="0" w:color="000000"/>
              <w:right w:val="nil"/>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958.7 </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3"/>
          <w:jc w:val="center"/>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210</w:t>
            </w:r>
          </w:p>
        </w:tc>
        <w:tc>
          <w:tcPr>
            <w:tcW w:w="46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卫生健康支出</w:t>
            </w:r>
          </w:p>
        </w:tc>
        <w:tc>
          <w:tcPr>
            <w:tcW w:w="12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227.5 </w:t>
            </w:r>
          </w:p>
        </w:tc>
        <w:tc>
          <w:tcPr>
            <w:tcW w:w="1098" w:type="dxa"/>
            <w:tcBorders>
              <w:top w:val="single" w:sz="4" w:space="0" w:color="000000"/>
              <w:left w:val="nil"/>
              <w:bottom w:val="single" w:sz="4" w:space="0" w:color="000000"/>
              <w:right w:val="nil"/>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227.5 </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3"/>
          <w:jc w:val="center"/>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21011</w:t>
            </w:r>
          </w:p>
        </w:tc>
        <w:tc>
          <w:tcPr>
            <w:tcW w:w="46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行政事业单位医疗</w:t>
            </w:r>
          </w:p>
        </w:tc>
        <w:tc>
          <w:tcPr>
            <w:tcW w:w="12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227.5 </w:t>
            </w:r>
          </w:p>
        </w:tc>
        <w:tc>
          <w:tcPr>
            <w:tcW w:w="1098" w:type="dxa"/>
            <w:tcBorders>
              <w:top w:val="single" w:sz="4" w:space="0" w:color="000000"/>
              <w:left w:val="nil"/>
              <w:bottom w:val="single" w:sz="4" w:space="0" w:color="000000"/>
              <w:right w:val="nil"/>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227.5 </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3"/>
          <w:jc w:val="center"/>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2101102</w:t>
            </w:r>
          </w:p>
        </w:tc>
        <w:tc>
          <w:tcPr>
            <w:tcW w:w="46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事业单位医疗</w:t>
            </w:r>
          </w:p>
        </w:tc>
        <w:tc>
          <w:tcPr>
            <w:tcW w:w="12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227.5 </w:t>
            </w:r>
          </w:p>
        </w:tc>
        <w:tc>
          <w:tcPr>
            <w:tcW w:w="1098" w:type="dxa"/>
            <w:tcBorders>
              <w:top w:val="single" w:sz="4" w:space="0" w:color="000000"/>
              <w:left w:val="nil"/>
              <w:bottom w:val="single" w:sz="4" w:space="0" w:color="000000"/>
              <w:right w:val="nil"/>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227.5 </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3"/>
          <w:jc w:val="center"/>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221</w:t>
            </w:r>
          </w:p>
        </w:tc>
        <w:tc>
          <w:tcPr>
            <w:tcW w:w="46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住房保障支出</w:t>
            </w:r>
          </w:p>
        </w:tc>
        <w:tc>
          <w:tcPr>
            <w:tcW w:w="12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136.8 </w:t>
            </w:r>
          </w:p>
        </w:tc>
        <w:tc>
          <w:tcPr>
            <w:tcW w:w="1098" w:type="dxa"/>
            <w:tcBorders>
              <w:top w:val="single" w:sz="4" w:space="0" w:color="000000"/>
              <w:left w:val="nil"/>
              <w:bottom w:val="single" w:sz="4" w:space="0" w:color="000000"/>
              <w:right w:val="nil"/>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136.8 </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3"/>
          <w:jc w:val="center"/>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22102</w:t>
            </w:r>
          </w:p>
        </w:tc>
        <w:tc>
          <w:tcPr>
            <w:tcW w:w="46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住房改革支出</w:t>
            </w:r>
          </w:p>
        </w:tc>
        <w:tc>
          <w:tcPr>
            <w:tcW w:w="12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136.8 </w:t>
            </w:r>
          </w:p>
        </w:tc>
        <w:tc>
          <w:tcPr>
            <w:tcW w:w="1098" w:type="dxa"/>
            <w:tcBorders>
              <w:top w:val="single" w:sz="4" w:space="0" w:color="000000"/>
              <w:left w:val="nil"/>
              <w:bottom w:val="single" w:sz="4" w:space="0" w:color="000000"/>
              <w:right w:val="nil"/>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136.8 </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3"/>
          <w:jc w:val="center"/>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2210202</w:t>
            </w:r>
          </w:p>
        </w:tc>
        <w:tc>
          <w:tcPr>
            <w:tcW w:w="46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提租补贴</w:t>
            </w:r>
          </w:p>
        </w:tc>
        <w:tc>
          <w:tcPr>
            <w:tcW w:w="12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136.8 </w:t>
            </w:r>
          </w:p>
        </w:tc>
        <w:tc>
          <w:tcPr>
            <w:tcW w:w="1098" w:type="dxa"/>
            <w:tcBorders>
              <w:top w:val="single" w:sz="4" w:space="0" w:color="000000"/>
              <w:left w:val="nil"/>
              <w:bottom w:val="single" w:sz="4" w:space="0" w:color="000000"/>
              <w:right w:val="nil"/>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136.8 </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3"/>
          <w:jc w:val="center"/>
        </w:trPr>
        <w:tc>
          <w:tcPr>
            <w:tcW w:w="11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b/>
                <w:color w:val="000000"/>
                <w:kern w:val="0"/>
                <w:sz w:val="22"/>
                <w:szCs w:val="22"/>
              </w:rPr>
            </w:pPr>
          </w:p>
        </w:tc>
        <w:tc>
          <w:tcPr>
            <w:tcW w:w="462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center"/>
              <w:rPr>
                <w:rFonts w:ascii="宋体" w:eastAsia="宋体" w:hAnsi="宋体" w:cs="宋体"/>
                <w:b/>
                <w:sz w:val="22"/>
                <w:szCs w:val="22"/>
              </w:rPr>
            </w:pPr>
            <w:r>
              <w:rPr>
                <w:rFonts w:hint="eastAsia"/>
                <w:b/>
                <w:sz w:val="22"/>
                <w:szCs w:val="22"/>
              </w:rPr>
              <w:t>合</w:t>
            </w:r>
            <w:r>
              <w:rPr>
                <w:rFonts w:hint="eastAsia"/>
                <w:b/>
                <w:sz w:val="22"/>
                <w:szCs w:val="22"/>
              </w:rPr>
              <w:t xml:space="preserve"> </w:t>
            </w:r>
            <w:r>
              <w:rPr>
                <w:rFonts w:hint="eastAsia"/>
                <w:b/>
                <w:sz w:val="22"/>
                <w:szCs w:val="22"/>
              </w:rPr>
              <w:t>计</w:t>
            </w:r>
          </w:p>
        </w:tc>
        <w:tc>
          <w:tcPr>
            <w:tcW w:w="1290"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b/>
                <w:sz w:val="22"/>
                <w:szCs w:val="22"/>
              </w:rPr>
            </w:pPr>
            <w:r>
              <w:rPr>
                <w:rFonts w:hint="eastAsia"/>
                <w:b/>
                <w:sz w:val="22"/>
                <w:szCs w:val="22"/>
              </w:rPr>
              <w:t xml:space="preserve">32,553.5 </w:t>
            </w:r>
          </w:p>
        </w:tc>
        <w:tc>
          <w:tcPr>
            <w:tcW w:w="1098" w:type="dxa"/>
            <w:tcBorders>
              <w:top w:val="single" w:sz="4" w:space="0" w:color="000000"/>
              <w:left w:val="nil"/>
              <w:bottom w:val="single" w:sz="4" w:space="0" w:color="000000"/>
              <w:right w:val="nil"/>
            </w:tcBorders>
            <w:tcMar>
              <w:top w:w="15" w:type="dxa"/>
              <w:left w:w="15" w:type="dxa"/>
              <w:right w:w="15" w:type="dxa"/>
            </w:tcMar>
            <w:vAlign w:val="center"/>
          </w:tcPr>
          <w:p w:rsidR="00593B0F" w:rsidRDefault="00E31212">
            <w:pPr>
              <w:jc w:val="right"/>
              <w:rPr>
                <w:rFonts w:ascii="宋体" w:eastAsia="宋体" w:hAnsi="宋体" w:cs="宋体"/>
                <w:b/>
                <w:sz w:val="22"/>
                <w:szCs w:val="22"/>
              </w:rPr>
            </w:pPr>
            <w:r>
              <w:rPr>
                <w:rFonts w:hint="eastAsia"/>
                <w:b/>
                <w:sz w:val="22"/>
                <w:szCs w:val="22"/>
              </w:rPr>
              <w:t xml:space="preserve">26,440.4 </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b/>
                <w:sz w:val="22"/>
                <w:szCs w:val="22"/>
              </w:rPr>
            </w:pPr>
            <w:r>
              <w:rPr>
                <w:rFonts w:hint="eastAsia"/>
                <w:b/>
                <w:sz w:val="22"/>
                <w:szCs w:val="22"/>
              </w:rPr>
              <w:t xml:space="preserve">6,113.1 </w:t>
            </w:r>
          </w:p>
        </w:tc>
      </w:tr>
    </w:tbl>
    <w:p w:rsidR="00593B0F" w:rsidRDefault="00593B0F">
      <w:pPr>
        <w:pStyle w:val="a5"/>
        <w:adjustRightInd w:val="0"/>
        <w:snapToGrid w:val="0"/>
        <w:spacing w:before="0" w:beforeAutospacing="0" w:after="0" w:afterAutospacing="0" w:line="360" w:lineRule="auto"/>
        <w:jc w:val="center"/>
        <w:rPr>
          <w:rFonts w:asciiTheme="minorEastAsia" w:eastAsiaTheme="minorEastAsia" w:hAnsiTheme="minorEastAsia" w:cstheme="minorEastAsia"/>
          <w:b/>
          <w:bCs/>
          <w:sz w:val="36"/>
          <w:szCs w:val="36"/>
        </w:rPr>
      </w:pPr>
    </w:p>
    <w:p w:rsidR="00593B0F" w:rsidRDefault="00593B0F">
      <w:pPr>
        <w:pStyle w:val="a5"/>
        <w:adjustRightInd w:val="0"/>
        <w:snapToGrid w:val="0"/>
        <w:spacing w:before="0" w:beforeAutospacing="0" w:after="0" w:afterAutospacing="0" w:line="360" w:lineRule="auto"/>
        <w:jc w:val="center"/>
        <w:rPr>
          <w:rFonts w:asciiTheme="minorEastAsia" w:eastAsiaTheme="minorEastAsia" w:hAnsiTheme="minorEastAsia" w:cstheme="minorEastAsia"/>
          <w:b/>
          <w:bCs/>
          <w:sz w:val="36"/>
          <w:szCs w:val="36"/>
        </w:rPr>
      </w:pPr>
    </w:p>
    <w:p w:rsidR="00593B0F" w:rsidRDefault="00593B0F">
      <w:pPr>
        <w:pStyle w:val="a5"/>
        <w:adjustRightInd w:val="0"/>
        <w:snapToGrid w:val="0"/>
        <w:spacing w:before="0" w:beforeAutospacing="0" w:after="0" w:afterAutospacing="0" w:line="360" w:lineRule="auto"/>
        <w:jc w:val="center"/>
        <w:rPr>
          <w:rFonts w:asciiTheme="minorEastAsia" w:eastAsiaTheme="minorEastAsia" w:hAnsiTheme="minorEastAsia" w:cstheme="minorEastAsia"/>
          <w:b/>
          <w:bCs/>
          <w:sz w:val="36"/>
          <w:szCs w:val="36"/>
        </w:rPr>
      </w:pPr>
    </w:p>
    <w:p w:rsidR="00593B0F" w:rsidRDefault="00593B0F">
      <w:pPr>
        <w:pStyle w:val="a5"/>
        <w:adjustRightInd w:val="0"/>
        <w:snapToGrid w:val="0"/>
        <w:spacing w:before="0" w:beforeAutospacing="0" w:after="0" w:afterAutospacing="0" w:line="360" w:lineRule="auto"/>
        <w:jc w:val="center"/>
        <w:rPr>
          <w:rFonts w:asciiTheme="minorEastAsia" w:eastAsiaTheme="minorEastAsia" w:hAnsiTheme="minorEastAsia" w:cstheme="minorEastAsia"/>
          <w:b/>
          <w:bCs/>
          <w:sz w:val="36"/>
          <w:szCs w:val="36"/>
        </w:rPr>
      </w:pPr>
    </w:p>
    <w:p w:rsidR="00593B0F" w:rsidRDefault="00593B0F">
      <w:pPr>
        <w:pStyle w:val="a5"/>
        <w:adjustRightInd w:val="0"/>
        <w:snapToGrid w:val="0"/>
        <w:spacing w:before="0" w:beforeAutospacing="0" w:after="0" w:afterAutospacing="0" w:line="360" w:lineRule="auto"/>
        <w:jc w:val="center"/>
        <w:rPr>
          <w:rFonts w:asciiTheme="minorEastAsia" w:eastAsiaTheme="minorEastAsia" w:hAnsiTheme="minorEastAsia" w:cstheme="minorEastAsia"/>
          <w:b/>
          <w:bCs/>
          <w:sz w:val="36"/>
          <w:szCs w:val="36"/>
        </w:rPr>
      </w:pPr>
    </w:p>
    <w:p w:rsidR="00593B0F" w:rsidRDefault="00593B0F">
      <w:pPr>
        <w:pStyle w:val="a5"/>
        <w:adjustRightInd w:val="0"/>
        <w:snapToGrid w:val="0"/>
        <w:spacing w:before="0" w:beforeAutospacing="0" w:after="0" w:afterAutospacing="0" w:line="360" w:lineRule="auto"/>
        <w:jc w:val="center"/>
        <w:rPr>
          <w:rFonts w:asciiTheme="minorEastAsia" w:eastAsiaTheme="minorEastAsia" w:hAnsiTheme="minorEastAsia" w:cstheme="minorEastAsia"/>
          <w:b/>
          <w:bCs/>
          <w:sz w:val="36"/>
          <w:szCs w:val="36"/>
        </w:rPr>
      </w:pPr>
    </w:p>
    <w:p w:rsidR="00593B0F" w:rsidRDefault="00593B0F">
      <w:pPr>
        <w:pStyle w:val="a5"/>
        <w:adjustRightInd w:val="0"/>
        <w:snapToGrid w:val="0"/>
        <w:spacing w:before="0" w:beforeAutospacing="0" w:after="0" w:afterAutospacing="0" w:line="360" w:lineRule="auto"/>
        <w:jc w:val="center"/>
        <w:rPr>
          <w:rFonts w:asciiTheme="minorEastAsia" w:eastAsiaTheme="minorEastAsia" w:hAnsiTheme="minorEastAsia" w:cstheme="minorEastAsia"/>
          <w:b/>
          <w:bCs/>
          <w:sz w:val="36"/>
          <w:szCs w:val="36"/>
        </w:rPr>
      </w:pPr>
    </w:p>
    <w:p w:rsidR="00593B0F" w:rsidRDefault="00593B0F">
      <w:pPr>
        <w:pStyle w:val="a5"/>
        <w:adjustRightInd w:val="0"/>
        <w:snapToGrid w:val="0"/>
        <w:spacing w:before="0" w:beforeAutospacing="0" w:after="0" w:afterAutospacing="0" w:line="360" w:lineRule="auto"/>
        <w:jc w:val="center"/>
        <w:rPr>
          <w:rFonts w:asciiTheme="minorEastAsia" w:eastAsiaTheme="minorEastAsia" w:hAnsiTheme="minorEastAsia" w:cstheme="minorEastAsia"/>
          <w:b/>
          <w:bCs/>
          <w:sz w:val="36"/>
          <w:szCs w:val="36"/>
        </w:rPr>
      </w:pPr>
    </w:p>
    <w:p w:rsidR="00593B0F" w:rsidRDefault="00593B0F">
      <w:pPr>
        <w:pStyle w:val="a5"/>
        <w:adjustRightInd w:val="0"/>
        <w:snapToGrid w:val="0"/>
        <w:spacing w:before="0" w:beforeAutospacing="0" w:after="0" w:afterAutospacing="0" w:line="360" w:lineRule="auto"/>
        <w:jc w:val="center"/>
        <w:rPr>
          <w:rFonts w:asciiTheme="minorEastAsia" w:eastAsiaTheme="minorEastAsia" w:hAnsiTheme="minorEastAsia" w:cstheme="minorEastAsia"/>
          <w:b/>
          <w:bCs/>
          <w:sz w:val="36"/>
          <w:szCs w:val="36"/>
        </w:rPr>
      </w:pPr>
    </w:p>
    <w:tbl>
      <w:tblPr>
        <w:tblW w:w="9171" w:type="dxa"/>
        <w:tblLayout w:type="fixed"/>
        <w:tblCellMar>
          <w:left w:w="0" w:type="dxa"/>
          <w:right w:w="0" w:type="dxa"/>
        </w:tblCellMar>
        <w:tblLook w:val="04A0"/>
      </w:tblPr>
      <w:tblGrid>
        <w:gridCol w:w="2526"/>
        <w:gridCol w:w="4440"/>
        <w:gridCol w:w="2205"/>
      </w:tblGrid>
      <w:tr w:rsidR="00593B0F">
        <w:trPr>
          <w:trHeight w:val="23"/>
        </w:trPr>
        <w:tc>
          <w:tcPr>
            <w:tcW w:w="2526"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left"/>
              <w:rPr>
                <w:rFonts w:asciiTheme="minorEastAsia" w:eastAsiaTheme="minorEastAsia" w:hAnsiTheme="minorEastAsia" w:cstheme="minorEastAsia"/>
                <w:color w:val="000000"/>
                <w:sz w:val="18"/>
                <w:szCs w:val="18"/>
              </w:rPr>
            </w:pPr>
          </w:p>
        </w:tc>
        <w:tc>
          <w:tcPr>
            <w:tcW w:w="4440"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2205" w:type="dxa"/>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部门公开表3</w:t>
            </w:r>
          </w:p>
        </w:tc>
      </w:tr>
      <w:tr w:rsidR="00593B0F">
        <w:trPr>
          <w:trHeight w:val="23"/>
        </w:trPr>
        <w:tc>
          <w:tcPr>
            <w:tcW w:w="9171" w:type="dxa"/>
            <w:gridSpan w:val="3"/>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center"/>
              <w:textAlignment w:val="center"/>
              <w:rPr>
                <w:rFonts w:ascii="华文中宋" w:eastAsia="华文中宋" w:hAnsi="华文中宋" w:cs="华文中宋"/>
                <w:b/>
                <w:color w:val="000000"/>
                <w:sz w:val="36"/>
                <w:szCs w:val="36"/>
              </w:rPr>
            </w:pPr>
            <w:r>
              <w:rPr>
                <w:rFonts w:ascii="华文中宋" w:eastAsia="华文中宋" w:hAnsi="华文中宋" w:cs="华文中宋" w:hint="eastAsia"/>
                <w:b/>
                <w:color w:val="000000"/>
                <w:kern w:val="0"/>
                <w:sz w:val="36"/>
                <w:szCs w:val="36"/>
              </w:rPr>
              <w:t>安徽大学2019年一般公共预算基本支出表</w:t>
            </w:r>
          </w:p>
        </w:tc>
      </w:tr>
      <w:tr w:rsidR="00593B0F">
        <w:trPr>
          <w:trHeight w:val="23"/>
        </w:trPr>
        <w:tc>
          <w:tcPr>
            <w:tcW w:w="2526"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left"/>
              <w:rPr>
                <w:rFonts w:asciiTheme="minorEastAsia" w:eastAsiaTheme="minorEastAsia" w:hAnsiTheme="minorEastAsia" w:cstheme="minorEastAsia"/>
                <w:color w:val="000000"/>
                <w:sz w:val="18"/>
                <w:szCs w:val="18"/>
              </w:rPr>
            </w:pPr>
          </w:p>
        </w:tc>
        <w:tc>
          <w:tcPr>
            <w:tcW w:w="4440"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2205" w:type="dxa"/>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单位：万元</w:t>
            </w:r>
          </w:p>
        </w:tc>
      </w:tr>
      <w:tr w:rsidR="00593B0F">
        <w:trPr>
          <w:trHeight w:val="23"/>
        </w:trPr>
        <w:tc>
          <w:tcPr>
            <w:tcW w:w="696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经济分类科目</w:t>
            </w:r>
          </w:p>
        </w:tc>
        <w:tc>
          <w:tcPr>
            <w:tcW w:w="220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预算数</w:t>
            </w:r>
          </w:p>
        </w:tc>
      </w:tr>
      <w:tr w:rsidR="00593B0F">
        <w:trPr>
          <w:trHeight w:val="23"/>
        </w:trPr>
        <w:tc>
          <w:tcPr>
            <w:tcW w:w="2526"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科目编码</w:t>
            </w:r>
          </w:p>
        </w:tc>
        <w:tc>
          <w:tcPr>
            <w:tcW w:w="4440" w:type="dxa"/>
            <w:tcBorders>
              <w:top w:val="single" w:sz="4" w:space="0" w:color="000000"/>
              <w:left w:val="single" w:sz="4" w:space="0" w:color="000000"/>
              <w:bottom w:val="nil"/>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科目名称</w:t>
            </w:r>
          </w:p>
        </w:tc>
        <w:tc>
          <w:tcPr>
            <w:tcW w:w="220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b/>
                <w:color w:val="000000"/>
                <w:sz w:val="22"/>
                <w:szCs w:val="22"/>
              </w:rPr>
            </w:pP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301</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工资福利支出</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18,217.8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30101</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基本工资</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7,447.6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30102</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津贴补贴</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230.0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30107</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绩效工资</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7,848.6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30110</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城镇职工基本医疗保险缴费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1,223.7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30112</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其他社会保障缴费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443.6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30113</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住房公积金</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917.8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30114</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医疗费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106.5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302</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商品和服务支出</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5,559.7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30201</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办公费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100.0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30205</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水费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700.0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30206</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电费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1,421.5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30207</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邮电费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50.0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30211</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差旅费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50.0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30213</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维修(护)费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200.0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30215</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会议费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50.0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30216</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培训费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329.5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30218</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专用材料费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1,000.0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30226</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劳务费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703.6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30228</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工会经费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490.7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30229</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福利费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366.3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30299</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其他商品和服务支出</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98.1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303</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对个人和家庭的补助</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2,662.9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30301</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离休费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727.2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30302</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退休费</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133.4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30305</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生活补助</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26.5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30307</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医疗费补助</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227.5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30308</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助学金</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136.3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30399</w:t>
            </w: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其他对个人和家庭的补助支出</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1,412.0 </w:t>
            </w:r>
          </w:p>
        </w:tc>
      </w:tr>
      <w:tr w:rsidR="00593B0F">
        <w:trPr>
          <w:trHeight w:val="23"/>
        </w:trPr>
        <w:tc>
          <w:tcPr>
            <w:tcW w:w="2526" w:type="dxa"/>
            <w:tcBorders>
              <w:top w:val="single" w:sz="4" w:space="0" w:color="000000"/>
              <w:left w:val="single" w:sz="4" w:space="0" w:color="000000"/>
              <w:bottom w:val="single" w:sz="4" w:space="0" w:color="000000"/>
              <w:right w:val="nil"/>
            </w:tcBorders>
            <w:tcMar>
              <w:top w:w="15" w:type="dxa"/>
              <w:left w:w="15" w:type="dxa"/>
              <w:right w:w="15" w:type="dxa"/>
            </w:tcMar>
            <w:vAlign w:val="center"/>
          </w:tcPr>
          <w:p w:rsidR="00593B0F" w:rsidRDefault="00593B0F">
            <w:pPr>
              <w:widowControl/>
              <w:spacing w:line="0" w:lineRule="atLeast"/>
              <w:jc w:val="left"/>
              <w:textAlignment w:val="center"/>
              <w:rPr>
                <w:rFonts w:ascii="宋体" w:eastAsia="宋体" w:hAnsi="宋体" w:cs="宋体"/>
                <w:color w:val="000000"/>
                <w:kern w:val="0"/>
                <w:sz w:val="22"/>
                <w:szCs w:val="22"/>
              </w:rPr>
            </w:pPr>
          </w:p>
        </w:tc>
        <w:tc>
          <w:tcPr>
            <w:tcW w:w="444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center"/>
              <w:rPr>
                <w:rFonts w:ascii="宋体" w:eastAsia="宋体" w:hAnsi="宋体" w:cs="宋体"/>
                <w:sz w:val="22"/>
                <w:szCs w:val="22"/>
              </w:rPr>
            </w:pPr>
            <w:r>
              <w:rPr>
                <w:rFonts w:ascii="宋体" w:eastAsia="宋体" w:hAnsi="宋体" w:cs="宋体" w:hint="eastAsia"/>
                <w:sz w:val="22"/>
                <w:szCs w:val="22"/>
              </w:rPr>
              <w:t>合计</w:t>
            </w:r>
          </w:p>
        </w:tc>
        <w:tc>
          <w:tcPr>
            <w:tcW w:w="2205" w:type="dxa"/>
            <w:tcBorders>
              <w:top w:val="single" w:sz="4" w:space="0" w:color="000000"/>
              <w:left w:val="nil"/>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26,440.4 </w:t>
            </w:r>
          </w:p>
        </w:tc>
      </w:tr>
    </w:tbl>
    <w:p w:rsidR="00593B0F" w:rsidRDefault="00593B0F">
      <w:pPr>
        <w:pStyle w:val="a5"/>
        <w:adjustRightInd w:val="0"/>
        <w:snapToGrid w:val="0"/>
        <w:spacing w:before="0" w:beforeAutospacing="0" w:after="0" w:afterAutospacing="0" w:line="360" w:lineRule="auto"/>
        <w:jc w:val="right"/>
        <w:rPr>
          <w:sz w:val="10"/>
          <w:szCs w:val="10"/>
        </w:rPr>
      </w:pPr>
    </w:p>
    <w:p w:rsidR="00593B0F" w:rsidRDefault="00593B0F">
      <w:pPr>
        <w:pStyle w:val="a5"/>
        <w:adjustRightInd w:val="0"/>
        <w:snapToGrid w:val="0"/>
        <w:spacing w:before="0" w:beforeAutospacing="0" w:after="0" w:afterAutospacing="0" w:line="360" w:lineRule="auto"/>
        <w:jc w:val="right"/>
        <w:rPr>
          <w:sz w:val="10"/>
          <w:szCs w:val="10"/>
        </w:rPr>
      </w:pPr>
    </w:p>
    <w:p w:rsidR="00593B0F" w:rsidRDefault="00593B0F">
      <w:pPr>
        <w:pStyle w:val="a5"/>
        <w:adjustRightInd w:val="0"/>
        <w:snapToGrid w:val="0"/>
        <w:spacing w:before="0" w:beforeAutospacing="0" w:after="0" w:afterAutospacing="0" w:line="360" w:lineRule="auto"/>
        <w:jc w:val="right"/>
        <w:rPr>
          <w:sz w:val="10"/>
          <w:szCs w:val="10"/>
        </w:rPr>
      </w:pPr>
    </w:p>
    <w:p w:rsidR="00593B0F" w:rsidRDefault="00593B0F">
      <w:pPr>
        <w:pStyle w:val="a5"/>
        <w:adjustRightInd w:val="0"/>
        <w:snapToGrid w:val="0"/>
        <w:spacing w:before="0" w:beforeAutospacing="0" w:after="0" w:afterAutospacing="0" w:line="360" w:lineRule="auto"/>
        <w:jc w:val="right"/>
        <w:rPr>
          <w:sz w:val="10"/>
          <w:szCs w:val="10"/>
        </w:rPr>
      </w:pPr>
    </w:p>
    <w:p w:rsidR="00593B0F" w:rsidRDefault="00593B0F">
      <w:pPr>
        <w:pStyle w:val="a5"/>
        <w:adjustRightInd w:val="0"/>
        <w:snapToGrid w:val="0"/>
        <w:spacing w:before="0" w:beforeAutospacing="0" w:after="0" w:afterAutospacing="0" w:line="360" w:lineRule="auto"/>
        <w:jc w:val="right"/>
        <w:rPr>
          <w:sz w:val="10"/>
          <w:szCs w:val="10"/>
        </w:rPr>
      </w:pPr>
    </w:p>
    <w:tbl>
      <w:tblPr>
        <w:tblW w:w="9202" w:type="dxa"/>
        <w:jc w:val="center"/>
        <w:tblLayout w:type="fixed"/>
        <w:tblCellMar>
          <w:left w:w="0" w:type="dxa"/>
          <w:right w:w="0" w:type="dxa"/>
        </w:tblCellMar>
        <w:tblLook w:val="04A0"/>
      </w:tblPr>
      <w:tblGrid>
        <w:gridCol w:w="1376"/>
        <w:gridCol w:w="79"/>
        <w:gridCol w:w="1830"/>
        <w:gridCol w:w="116"/>
        <w:gridCol w:w="1504"/>
        <w:gridCol w:w="120"/>
        <w:gridCol w:w="1305"/>
        <w:gridCol w:w="22"/>
        <w:gridCol w:w="1403"/>
        <w:gridCol w:w="22"/>
        <w:gridCol w:w="1403"/>
        <w:gridCol w:w="22"/>
      </w:tblGrid>
      <w:tr w:rsidR="00593B0F">
        <w:trPr>
          <w:trHeight w:val="285"/>
          <w:jc w:val="center"/>
        </w:trPr>
        <w:tc>
          <w:tcPr>
            <w:tcW w:w="1376" w:type="dxa"/>
            <w:tcBorders>
              <w:top w:val="nil"/>
              <w:left w:val="nil"/>
              <w:bottom w:val="nil"/>
              <w:right w:val="nil"/>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4"/>
              </w:rPr>
            </w:pPr>
          </w:p>
        </w:tc>
        <w:tc>
          <w:tcPr>
            <w:tcW w:w="2025" w:type="dxa"/>
            <w:gridSpan w:val="3"/>
            <w:tcBorders>
              <w:top w:val="nil"/>
              <w:left w:val="nil"/>
              <w:bottom w:val="nil"/>
              <w:right w:val="nil"/>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4"/>
              </w:rPr>
            </w:pPr>
          </w:p>
        </w:tc>
        <w:tc>
          <w:tcPr>
            <w:tcW w:w="1624" w:type="dxa"/>
            <w:gridSpan w:val="2"/>
            <w:tcBorders>
              <w:top w:val="nil"/>
              <w:left w:val="nil"/>
              <w:bottom w:val="nil"/>
              <w:right w:val="nil"/>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4"/>
              </w:rPr>
            </w:pPr>
          </w:p>
        </w:tc>
        <w:tc>
          <w:tcPr>
            <w:tcW w:w="1327" w:type="dxa"/>
            <w:gridSpan w:val="2"/>
            <w:tcBorders>
              <w:top w:val="nil"/>
              <w:left w:val="nil"/>
              <w:bottom w:val="nil"/>
              <w:right w:val="nil"/>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4"/>
              </w:rPr>
            </w:pPr>
          </w:p>
        </w:tc>
        <w:tc>
          <w:tcPr>
            <w:tcW w:w="2850" w:type="dxa"/>
            <w:gridSpan w:val="4"/>
            <w:tcBorders>
              <w:top w:val="nil"/>
              <w:left w:val="nil"/>
              <w:bottom w:val="nil"/>
              <w:right w:val="nil"/>
            </w:tcBorders>
            <w:tcMar>
              <w:top w:w="15" w:type="dxa"/>
              <w:left w:w="15" w:type="dxa"/>
              <w:right w:w="15" w:type="dxa"/>
            </w:tcMar>
            <w:vAlign w:val="center"/>
          </w:tcPr>
          <w:p w:rsidR="00593B0F" w:rsidRDefault="00E31212">
            <w:pPr>
              <w:widowControl/>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部门公开表4</w:t>
            </w:r>
          </w:p>
        </w:tc>
      </w:tr>
      <w:tr w:rsidR="00593B0F">
        <w:trPr>
          <w:trHeight w:val="510"/>
          <w:jc w:val="center"/>
        </w:trPr>
        <w:tc>
          <w:tcPr>
            <w:tcW w:w="9202" w:type="dxa"/>
            <w:gridSpan w:val="12"/>
            <w:tcBorders>
              <w:top w:val="nil"/>
              <w:left w:val="nil"/>
              <w:bottom w:val="nil"/>
              <w:right w:val="nil"/>
            </w:tcBorders>
            <w:tcMar>
              <w:top w:w="15" w:type="dxa"/>
              <w:left w:w="15" w:type="dxa"/>
              <w:right w:w="15" w:type="dxa"/>
            </w:tcMar>
            <w:vAlign w:val="center"/>
          </w:tcPr>
          <w:p w:rsidR="00593B0F" w:rsidRDefault="00E31212">
            <w:pPr>
              <w:widowControl/>
              <w:jc w:val="center"/>
              <w:textAlignment w:val="center"/>
              <w:rPr>
                <w:rFonts w:ascii="华文中宋" w:eastAsia="华文中宋" w:hAnsi="华文中宋" w:cs="华文中宋"/>
                <w:b/>
                <w:color w:val="000000"/>
                <w:sz w:val="36"/>
                <w:szCs w:val="36"/>
              </w:rPr>
            </w:pPr>
            <w:r>
              <w:rPr>
                <w:rFonts w:ascii="华文中宋" w:eastAsia="华文中宋" w:hAnsi="华文中宋" w:cs="华文中宋" w:hint="eastAsia"/>
                <w:b/>
                <w:color w:val="000000"/>
                <w:kern w:val="0"/>
                <w:sz w:val="36"/>
                <w:szCs w:val="36"/>
              </w:rPr>
              <w:t>安徽大学2019年政府性基金预算支出表</w:t>
            </w:r>
          </w:p>
        </w:tc>
      </w:tr>
      <w:tr w:rsidR="00593B0F">
        <w:trPr>
          <w:trHeight w:val="375"/>
          <w:jc w:val="center"/>
        </w:trPr>
        <w:tc>
          <w:tcPr>
            <w:tcW w:w="1376" w:type="dxa"/>
            <w:tcBorders>
              <w:top w:val="nil"/>
              <w:left w:val="nil"/>
              <w:bottom w:val="nil"/>
              <w:right w:val="nil"/>
            </w:tcBorders>
            <w:tcMar>
              <w:top w:w="15" w:type="dxa"/>
              <w:left w:w="15" w:type="dxa"/>
              <w:right w:w="15" w:type="dxa"/>
            </w:tcMar>
            <w:vAlign w:val="center"/>
          </w:tcPr>
          <w:p w:rsidR="00593B0F" w:rsidRDefault="00593B0F">
            <w:pPr>
              <w:jc w:val="left"/>
              <w:rPr>
                <w:rFonts w:asciiTheme="minorEastAsia" w:eastAsiaTheme="minorEastAsia" w:hAnsiTheme="minorEastAsia" w:cstheme="minorEastAsia"/>
                <w:color w:val="000000"/>
                <w:sz w:val="20"/>
                <w:szCs w:val="20"/>
              </w:rPr>
            </w:pPr>
          </w:p>
        </w:tc>
        <w:tc>
          <w:tcPr>
            <w:tcW w:w="2025" w:type="dxa"/>
            <w:gridSpan w:val="3"/>
            <w:tcBorders>
              <w:top w:val="nil"/>
              <w:left w:val="nil"/>
              <w:bottom w:val="nil"/>
              <w:right w:val="nil"/>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0"/>
                <w:szCs w:val="20"/>
              </w:rPr>
            </w:pPr>
          </w:p>
        </w:tc>
        <w:tc>
          <w:tcPr>
            <w:tcW w:w="1624" w:type="dxa"/>
            <w:gridSpan w:val="2"/>
            <w:tcBorders>
              <w:top w:val="nil"/>
              <w:left w:val="nil"/>
              <w:bottom w:val="nil"/>
              <w:right w:val="nil"/>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0"/>
                <w:szCs w:val="20"/>
              </w:rPr>
            </w:pPr>
          </w:p>
        </w:tc>
        <w:tc>
          <w:tcPr>
            <w:tcW w:w="1327" w:type="dxa"/>
            <w:gridSpan w:val="2"/>
            <w:tcBorders>
              <w:top w:val="nil"/>
              <w:left w:val="nil"/>
              <w:bottom w:val="nil"/>
              <w:right w:val="nil"/>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0"/>
                <w:szCs w:val="20"/>
              </w:rPr>
            </w:pPr>
          </w:p>
        </w:tc>
        <w:tc>
          <w:tcPr>
            <w:tcW w:w="2850" w:type="dxa"/>
            <w:gridSpan w:val="4"/>
            <w:tcBorders>
              <w:top w:val="nil"/>
              <w:left w:val="nil"/>
              <w:bottom w:val="nil"/>
              <w:right w:val="nil"/>
            </w:tcBorders>
            <w:tcMar>
              <w:top w:w="15" w:type="dxa"/>
              <w:left w:w="15" w:type="dxa"/>
              <w:right w:w="15" w:type="dxa"/>
            </w:tcMar>
            <w:vAlign w:val="center"/>
          </w:tcPr>
          <w:p w:rsidR="00593B0F" w:rsidRDefault="00E31212">
            <w:pPr>
              <w:widowControl/>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单位：万元</w:t>
            </w:r>
          </w:p>
        </w:tc>
      </w:tr>
      <w:tr w:rsidR="00593B0F">
        <w:trPr>
          <w:trHeight w:val="720"/>
          <w:jc w:val="center"/>
        </w:trPr>
        <w:tc>
          <w:tcPr>
            <w:tcW w:w="137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科目编码</w:t>
            </w:r>
          </w:p>
        </w:tc>
        <w:tc>
          <w:tcPr>
            <w:tcW w:w="2025"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科目名称</w:t>
            </w:r>
          </w:p>
        </w:tc>
        <w:tc>
          <w:tcPr>
            <w:tcW w:w="1624"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b/>
                <w:color w:val="000000"/>
                <w:kern w:val="0"/>
                <w:sz w:val="22"/>
                <w:szCs w:val="22"/>
              </w:rPr>
            </w:pPr>
            <w:r>
              <w:rPr>
                <w:rFonts w:asciiTheme="minorEastAsia" w:eastAsiaTheme="minorEastAsia" w:hAnsiTheme="minorEastAsia" w:cstheme="minorEastAsia" w:hint="eastAsia"/>
                <w:b/>
                <w:color w:val="000000"/>
                <w:kern w:val="0"/>
                <w:sz w:val="22"/>
                <w:szCs w:val="22"/>
              </w:rPr>
              <w:t>政府性基金</w:t>
            </w:r>
          </w:p>
          <w:p w:rsidR="00593B0F" w:rsidRDefault="00E31212">
            <w:pPr>
              <w:widowControl/>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预算拨款收入</w:t>
            </w:r>
          </w:p>
        </w:tc>
        <w:tc>
          <w:tcPr>
            <w:tcW w:w="4177"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政府性基金预算拨款支出</w:t>
            </w:r>
          </w:p>
        </w:tc>
      </w:tr>
      <w:tr w:rsidR="00593B0F">
        <w:trPr>
          <w:trHeight w:val="720"/>
          <w:jc w:val="center"/>
        </w:trPr>
        <w:tc>
          <w:tcPr>
            <w:tcW w:w="137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center"/>
              <w:rPr>
                <w:rFonts w:asciiTheme="minorEastAsia" w:eastAsiaTheme="minorEastAsia" w:hAnsiTheme="minorEastAsia" w:cstheme="minorEastAsia"/>
                <w:b/>
                <w:color w:val="000000"/>
                <w:sz w:val="22"/>
                <w:szCs w:val="22"/>
              </w:rPr>
            </w:pPr>
          </w:p>
        </w:tc>
        <w:tc>
          <w:tcPr>
            <w:tcW w:w="2025"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center"/>
              <w:rPr>
                <w:rFonts w:asciiTheme="minorEastAsia" w:eastAsiaTheme="minorEastAsia" w:hAnsiTheme="minorEastAsia" w:cstheme="minorEastAsia"/>
                <w:b/>
                <w:color w:val="000000"/>
                <w:sz w:val="22"/>
                <w:szCs w:val="22"/>
              </w:rPr>
            </w:pPr>
          </w:p>
        </w:tc>
        <w:tc>
          <w:tcPr>
            <w:tcW w:w="1624"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center"/>
              <w:rPr>
                <w:rFonts w:asciiTheme="minorEastAsia" w:eastAsiaTheme="minorEastAsia" w:hAnsiTheme="minorEastAsia" w:cstheme="minorEastAsia"/>
                <w:b/>
                <w:color w:val="000000"/>
                <w:sz w:val="22"/>
                <w:szCs w:val="22"/>
              </w:rPr>
            </w:pPr>
          </w:p>
        </w:tc>
        <w:tc>
          <w:tcPr>
            <w:tcW w:w="13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合计</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基本支出</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项目支出</w:t>
            </w:r>
          </w:p>
        </w:tc>
      </w:tr>
      <w:tr w:rsidR="00593B0F">
        <w:trPr>
          <w:trHeight w:val="720"/>
          <w:jc w:val="center"/>
        </w:trPr>
        <w:tc>
          <w:tcPr>
            <w:tcW w:w="13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left"/>
              <w:rPr>
                <w:rFonts w:asciiTheme="minorEastAsia" w:eastAsiaTheme="minorEastAsia" w:hAnsiTheme="minorEastAsia" w:cstheme="minorEastAsia"/>
                <w:color w:val="000000"/>
                <w:sz w:val="22"/>
                <w:szCs w:val="22"/>
              </w:rPr>
            </w:pPr>
          </w:p>
        </w:tc>
        <w:tc>
          <w:tcPr>
            <w:tcW w:w="2025"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2"/>
                <w:szCs w:val="22"/>
              </w:rPr>
            </w:pPr>
          </w:p>
        </w:tc>
        <w:tc>
          <w:tcPr>
            <w:tcW w:w="162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theme="minorEastAsia"/>
                <w:color w:val="000000"/>
                <w:sz w:val="22"/>
                <w:szCs w:val="22"/>
              </w:rPr>
            </w:pPr>
          </w:p>
        </w:tc>
        <w:tc>
          <w:tcPr>
            <w:tcW w:w="132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theme="minorEastAsia"/>
                <w:color w:val="000000"/>
                <w:sz w:val="22"/>
                <w:szCs w:val="22"/>
              </w:rPr>
            </w:pP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theme="minorEastAsia"/>
                <w:color w:val="000000"/>
                <w:sz w:val="22"/>
                <w:szCs w:val="22"/>
              </w:rPr>
            </w:pP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theme="minorEastAsia"/>
                <w:color w:val="000000"/>
                <w:sz w:val="22"/>
                <w:szCs w:val="22"/>
              </w:rPr>
            </w:pPr>
          </w:p>
        </w:tc>
      </w:tr>
      <w:tr w:rsidR="00593B0F">
        <w:trPr>
          <w:trHeight w:val="585"/>
          <w:jc w:val="center"/>
        </w:trPr>
        <w:tc>
          <w:tcPr>
            <w:tcW w:w="9202" w:type="dxa"/>
            <w:gridSpan w:val="12"/>
            <w:tcBorders>
              <w:top w:val="nil"/>
              <w:left w:val="nil"/>
              <w:bottom w:val="nil"/>
              <w:right w:val="nil"/>
            </w:tcBorders>
            <w:tcMar>
              <w:top w:w="15" w:type="dxa"/>
              <w:left w:w="15" w:type="dxa"/>
              <w:right w:w="15" w:type="dxa"/>
            </w:tcMar>
            <w:vAlign w:val="center"/>
          </w:tcPr>
          <w:p w:rsidR="00593B0F" w:rsidRDefault="00E31212">
            <w:pPr>
              <w:widowControl/>
              <w:jc w:val="left"/>
              <w:textAlignment w:val="center"/>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注：安徽大学没有政府性基金预算拨款收入，也没有政府性基金预算支出，故本表无数据。</w:t>
            </w:r>
          </w:p>
          <w:p w:rsidR="00593B0F" w:rsidRDefault="00593B0F">
            <w:pPr>
              <w:widowControl/>
              <w:jc w:val="left"/>
              <w:textAlignment w:val="center"/>
              <w:rPr>
                <w:rFonts w:asciiTheme="minorEastAsia" w:eastAsiaTheme="minorEastAsia" w:hAnsiTheme="minorEastAsia" w:cstheme="minorEastAsia"/>
                <w:color w:val="000000"/>
                <w:kern w:val="0"/>
                <w:sz w:val="22"/>
                <w:szCs w:val="22"/>
              </w:rPr>
            </w:pPr>
          </w:p>
          <w:p w:rsidR="00593B0F" w:rsidRDefault="00593B0F">
            <w:pPr>
              <w:widowControl/>
              <w:jc w:val="left"/>
              <w:textAlignment w:val="center"/>
              <w:rPr>
                <w:rFonts w:asciiTheme="minorEastAsia" w:eastAsiaTheme="minorEastAsia" w:hAnsiTheme="minorEastAsia" w:cstheme="minorEastAsia"/>
                <w:color w:val="000000"/>
                <w:kern w:val="0"/>
                <w:sz w:val="22"/>
                <w:szCs w:val="22"/>
              </w:rPr>
            </w:pPr>
          </w:p>
        </w:tc>
      </w:tr>
      <w:tr w:rsidR="00593B0F">
        <w:trPr>
          <w:gridAfter w:val="1"/>
          <w:wAfter w:w="22" w:type="dxa"/>
          <w:trHeight w:val="285"/>
          <w:jc w:val="center"/>
        </w:trPr>
        <w:tc>
          <w:tcPr>
            <w:tcW w:w="1455" w:type="dxa"/>
            <w:gridSpan w:val="2"/>
            <w:tcBorders>
              <w:top w:val="nil"/>
              <w:left w:val="nil"/>
              <w:bottom w:val="nil"/>
              <w:right w:val="nil"/>
            </w:tcBorders>
            <w:tcMar>
              <w:top w:w="15" w:type="dxa"/>
              <w:left w:w="15" w:type="dxa"/>
              <w:right w:w="15" w:type="dxa"/>
            </w:tcMar>
            <w:vAlign w:val="center"/>
          </w:tcPr>
          <w:p w:rsidR="00593B0F" w:rsidRDefault="00E31212">
            <w:pPr>
              <w:rPr>
                <w:rFonts w:asciiTheme="minorEastAsia" w:eastAsiaTheme="minorEastAsia" w:hAnsiTheme="minorEastAsia" w:cstheme="minorEastAsia"/>
                <w:color w:val="000000"/>
                <w:sz w:val="24"/>
              </w:rPr>
            </w:pPr>
            <w:r>
              <w:rPr>
                <w:rFonts w:ascii="黑体" w:eastAsia="黑体" w:hAnsi="黑体" w:hint="eastAsia"/>
                <w:bCs/>
                <w:sz w:val="36"/>
                <w:szCs w:val="36"/>
              </w:rPr>
              <w:br w:type="page"/>
            </w:r>
            <w:r>
              <w:rPr>
                <w:rFonts w:asciiTheme="minorEastAsia" w:eastAsiaTheme="minorEastAsia" w:hAnsiTheme="minorEastAsia" w:cstheme="minorEastAsia" w:hint="eastAsia"/>
                <w:color w:val="000000"/>
                <w:sz w:val="24"/>
              </w:rPr>
              <w:br w:type="page"/>
            </w:r>
          </w:p>
        </w:tc>
        <w:tc>
          <w:tcPr>
            <w:tcW w:w="1830" w:type="dxa"/>
            <w:tcBorders>
              <w:top w:val="nil"/>
              <w:left w:val="nil"/>
              <w:bottom w:val="nil"/>
              <w:right w:val="nil"/>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4"/>
              </w:rPr>
            </w:pPr>
          </w:p>
        </w:tc>
        <w:tc>
          <w:tcPr>
            <w:tcW w:w="1620" w:type="dxa"/>
            <w:gridSpan w:val="2"/>
            <w:tcBorders>
              <w:top w:val="nil"/>
              <w:left w:val="nil"/>
              <w:bottom w:val="nil"/>
              <w:right w:val="nil"/>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4"/>
              </w:rPr>
            </w:pPr>
          </w:p>
        </w:tc>
        <w:tc>
          <w:tcPr>
            <w:tcW w:w="1425" w:type="dxa"/>
            <w:gridSpan w:val="2"/>
            <w:tcBorders>
              <w:top w:val="nil"/>
              <w:left w:val="nil"/>
              <w:bottom w:val="nil"/>
              <w:right w:val="nil"/>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4"/>
              </w:rPr>
            </w:pPr>
          </w:p>
        </w:tc>
        <w:tc>
          <w:tcPr>
            <w:tcW w:w="2850" w:type="dxa"/>
            <w:gridSpan w:val="4"/>
            <w:tcBorders>
              <w:top w:val="nil"/>
              <w:left w:val="nil"/>
              <w:bottom w:val="nil"/>
              <w:right w:val="nil"/>
            </w:tcBorders>
            <w:tcMar>
              <w:top w:w="15" w:type="dxa"/>
              <w:left w:w="15" w:type="dxa"/>
              <w:right w:w="15" w:type="dxa"/>
            </w:tcMar>
            <w:vAlign w:val="center"/>
          </w:tcPr>
          <w:p w:rsidR="00593B0F" w:rsidRDefault="00E31212">
            <w:pPr>
              <w:widowControl/>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部门公开表5</w:t>
            </w:r>
          </w:p>
        </w:tc>
      </w:tr>
      <w:tr w:rsidR="00593B0F">
        <w:trPr>
          <w:gridAfter w:val="1"/>
          <w:wAfter w:w="22" w:type="dxa"/>
          <w:trHeight w:val="510"/>
          <w:jc w:val="center"/>
        </w:trPr>
        <w:tc>
          <w:tcPr>
            <w:tcW w:w="9180" w:type="dxa"/>
            <w:gridSpan w:val="11"/>
            <w:tcBorders>
              <w:top w:val="nil"/>
              <w:left w:val="nil"/>
              <w:bottom w:val="nil"/>
              <w:right w:val="nil"/>
            </w:tcBorders>
            <w:tcMar>
              <w:top w:w="15" w:type="dxa"/>
              <w:left w:w="15" w:type="dxa"/>
              <w:right w:w="15" w:type="dxa"/>
            </w:tcMar>
            <w:vAlign w:val="center"/>
          </w:tcPr>
          <w:p w:rsidR="00593B0F" w:rsidRDefault="00E31212">
            <w:pPr>
              <w:widowControl/>
              <w:jc w:val="center"/>
              <w:textAlignment w:val="center"/>
              <w:rPr>
                <w:rFonts w:ascii="华文中宋" w:eastAsia="华文中宋" w:hAnsi="华文中宋" w:cs="华文中宋"/>
                <w:b/>
                <w:color w:val="000000"/>
                <w:sz w:val="36"/>
                <w:szCs w:val="36"/>
              </w:rPr>
            </w:pPr>
            <w:r>
              <w:rPr>
                <w:rFonts w:ascii="华文中宋" w:eastAsia="华文中宋" w:hAnsi="华文中宋" w:cs="华文中宋" w:hint="eastAsia"/>
                <w:b/>
                <w:color w:val="000000"/>
                <w:kern w:val="0"/>
                <w:sz w:val="36"/>
                <w:szCs w:val="36"/>
              </w:rPr>
              <w:t>2019年国有资本经营预算支出预算表</w:t>
            </w:r>
          </w:p>
        </w:tc>
      </w:tr>
      <w:tr w:rsidR="00593B0F">
        <w:trPr>
          <w:gridAfter w:val="1"/>
          <w:wAfter w:w="22" w:type="dxa"/>
          <w:trHeight w:val="375"/>
          <w:jc w:val="center"/>
        </w:trPr>
        <w:tc>
          <w:tcPr>
            <w:tcW w:w="1455" w:type="dxa"/>
            <w:gridSpan w:val="2"/>
            <w:tcBorders>
              <w:top w:val="nil"/>
              <w:left w:val="nil"/>
              <w:bottom w:val="nil"/>
              <w:right w:val="nil"/>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18"/>
                <w:szCs w:val="18"/>
              </w:rPr>
            </w:pPr>
          </w:p>
        </w:tc>
        <w:tc>
          <w:tcPr>
            <w:tcW w:w="1830" w:type="dxa"/>
            <w:tcBorders>
              <w:top w:val="nil"/>
              <w:left w:val="nil"/>
              <w:bottom w:val="nil"/>
              <w:right w:val="nil"/>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0"/>
                <w:szCs w:val="20"/>
              </w:rPr>
            </w:pPr>
          </w:p>
        </w:tc>
        <w:tc>
          <w:tcPr>
            <w:tcW w:w="1620" w:type="dxa"/>
            <w:gridSpan w:val="2"/>
            <w:tcBorders>
              <w:top w:val="nil"/>
              <w:left w:val="nil"/>
              <w:bottom w:val="nil"/>
              <w:right w:val="nil"/>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0"/>
                <w:szCs w:val="20"/>
              </w:rPr>
            </w:pPr>
          </w:p>
        </w:tc>
        <w:tc>
          <w:tcPr>
            <w:tcW w:w="1425" w:type="dxa"/>
            <w:gridSpan w:val="2"/>
            <w:tcBorders>
              <w:top w:val="nil"/>
              <w:left w:val="nil"/>
              <w:bottom w:val="nil"/>
              <w:right w:val="nil"/>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0"/>
                <w:szCs w:val="20"/>
              </w:rPr>
            </w:pPr>
          </w:p>
        </w:tc>
        <w:tc>
          <w:tcPr>
            <w:tcW w:w="2850" w:type="dxa"/>
            <w:gridSpan w:val="4"/>
            <w:tcBorders>
              <w:top w:val="nil"/>
              <w:left w:val="nil"/>
              <w:bottom w:val="nil"/>
              <w:right w:val="nil"/>
            </w:tcBorders>
            <w:tcMar>
              <w:top w:w="15" w:type="dxa"/>
              <w:left w:w="15" w:type="dxa"/>
              <w:right w:w="15" w:type="dxa"/>
            </w:tcMar>
            <w:vAlign w:val="center"/>
          </w:tcPr>
          <w:p w:rsidR="00593B0F" w:rsidRDefault="00E31212">
            <w:pPr>
              <w:widowControl/>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单位：万元</w:t>
            </w:r>
          </w:p>
        </w:tc>
      </w:tr>
      <w:tr w:rsidR="00593B0F">
        <w:trPr>
          <w:gridAfter w:val="1"/>
          <w:wAfter w:w="22" w:type="dxa"/>
          <w:trHeight w:val="720"/>
          <w:jc w:val="center"/>
        </w:trPr>
        <w:tc>
          <w:tcPr>
            <w:tcW w:w="1455"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科目编码</w:t>
            </w:r>
          </w:p>
        </w:tc>
        <w:tc>
          <w:tcPr>
            <w:tcW w:w="183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科目名称</w:t>
            </w:r>
          </w:p>
        </w:tc>
        <w:tc>
          <w:tcPr>
            <w:tcW w:w="1620"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b/>
                <w:color w:val="000000"/>
                <w:kern w:val="0"/>
                <w:sz w:val="22"/>
                <w:szCs w:val="22"/>
              </w:rPr>
            </w:pPr>
            <w:r>
              <w:rPr>
                <w:rFonts w:asciiTheme="minorEastAsia" w:eastAsiaTheme="minorEastAsia" w:hAnsiTheme="minorEastAsia" w:cstheme="minorEastAsia" w:hint="eastAsia"/>
                <w:b/>
                <w:color w:val="000000"/>
                <w:kern w:val="0"/>
                <w:sz w:val="22"/>
                <w:szCs w:val="22"/>
              </w:rPr>
              <w:t>国有资本经营</w:t>
            </w:r>
          </w:p>
          <w:p w:rsidR="00593B0F" w:rsidRDefault="00E31212">
            <w:pPr>
              <w:widowControl/>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预算拨款收入</w:t>
            </w:r>
          </w:p>
        </w:tc>
        <w:tc>
          <w:tcPr>
            <w:tcW w:w="427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国有资本经营预算拨款支出</w:t>
            </w:r>
          </w:p>
        </w:tc>
      </w:tr>
      <w:tr w:rsidR="00593B0F">
        <w:trPr>
          <w:gridAfter w:val="1"/>
          <w:wAfter w:w="22" w:type="dxa"/>
          <w:trHeight w:val="720"/>
          <w:jc w:val="center"/>
        </w:trPr>
        <w:tc>
          <w:tcPr>
            <w:tcW w:w="145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center"/>
              <w:rPr>
                <w:rFonts w:asciiTheme="minorEastAsia" w:eastAsiaTheme="minorEastAsia" w:hAnsiTheme="minorEastAsia" w:cstheme="minorEastAsia"/>
                <w:b/>
                <w:color w:val="000000"/>
                <w:sz w:val="22"/>
                <w:szCs w:val="22"/>
              </w:rPr>
            </w:pPr>
          </w:p>
        </w:tc>
        <w:tc>
          <w:tcPr>
            <w:tcW w:w="183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center"/>
              <w:rPr>
                <w:rFonts w:asciiTheme="minorEastAsia" w:eastAsiaTheme="minorEastAsia" w:hAnsiTheme="minorEastAsia" w:cstheme="minorEastAsia"/>
                <w:b/>
                <w:color w:val="000000"/>
                <w:sz w:val="22"/>
                <w:szCs w:val="22"/>
              </w:rPr>
            </w:pPr>
          </w:p>
        </w:tc>
        <w:tc>
          <w:tcPr>
            <w:tcW w:w="1620"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center"/>
              <w:rPr>
                <w:rFonts w:asciiTheme="minorEastAsia" w:eastAsiaTheme="minorEastAsia" w:hAnsiTheme="minorEastAsia" w:cstheme="minorEastAsia"/>
                <w:b/>
                <w:color w:val="000000"/>
                <w:sz w:val="22"/>
                <w:szCs w:val="22"/>
              </w:rPr>
            </w:pP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合计</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基本支出</w:t>
            </w: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项目支出</w:t>
            </w:r>
          </w:p>
        </w:tc>
      </w:tr>
      <w:tr w:rsidR="00593B0F">
        <w:trPr>
          <w:gridAfter w:val="1"/>
          <w:wAfter w:w="22" w:type="dxa"/>
          <w:trHeight w:val="720"/>
          <w:jc w:val="center"/>
        </w:trPr>
        <w:tc>
          <w:tcPr>
            <w:tcW w:w="145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left"/>
              <w:rPr>
                <w:rFonts w:asciiTheme="minorEastAsia" w:eastAsiaTheme="minorEastAsia" w:hAnsiTheme="minorEastAsia" w:cstheme="minorEastAsia"/>
                <w:color w:val="000000"/>
                <w:sz w:val="22"/>
                <w:szCs w:val="22"/>
              </w:rPr>
            </w:pPr>
          </w:p>
        </w:tc>
        <w:tc>
          <w:tcPr>
            <w:tcW w:w="183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rPr>
                <w:rFonts w:asciiTheme="minorEastAsia" w:eastAsiaTheme="minorEastAsia" w:hAnsiTheme="minorEastAsia" w:cstheme="minorEastAsia"/>
                <w:color w:val="000000"/>
                <w:sz w:val="22"/>
                <w:szCs w:val="22"/>
              </w:rPr>
            </w:pPr>
          </w:p>
        </w:tc>
        <w:tc>
          <w:tcPr>
            <w:tcW w:w="16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theme="minorEastAsia"/>
                <w:color w:val="000000"/>
                <w:sz w:val="22"/>
                <w:szCs w:val="22"/>
              </w:rPr>
            </w:pP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theme="minorEastAsia"/>
                <w:color w:val="000000"/>
                <w:sz w:val="22"/>
                <w:szCs w:val="22"/>
              </w:rPr>
            </w:pP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theme="minorEastAsia"/>
                <w:color w:val="000000"/>
                <w:sz w:val="22"/>
                <w:szCs w:val="22"/>
              </w:rPr>
            </w:pPr>
          </w:p>
        </w:tc>
        <w:tc>
          <w:tcPr>
            <w:tcW w:w="14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theme="minorEastAsia"/>
                <w:color w:val="000000"/>
                <w:sz w:val="22"/>
                <w:szCs w:val="22"/>
              </w:rPr>
            </w:pPr>
          </w:p>
        </w:tc>
      </w:tr>
      <w:tr w:rsidR="00593B0F">
        <w:trPr>
          <w:gridAfter w:val="1"/>
          <w:wAfter w:w="22" w:type="dxa"/>
          <w:trHeight w:val="800"/>
          <w:jc w:val="center"/>
        </w:trPr>
        <w:tc>
          <w:tcPr>
            <w:tcW w:w="9180" w:type="dxa"/>
            <w:gridSpan w:val="11"/>
            <w:tcBorders>
              <w:top w:val="nil"/>
              <w:left w:val="nil"/>
              <w:bottom w:val="nil"/>
              <w:right w:val="nil"/>
            </w:tcBorders>
            <w:tcMar>
              <w:top w:w="15" w:type="dxa"/>
              <w:left w:w="15" w:type="dxa"/>
              <w:right w:w="15" w:type="dxa"/>
            </w:tcMar>
            <w:vAlign w:val="center"/>
          </w:tcPr>
          <w:p w:rsidR="00593B0F" w:rsidRDefault="00E31212">
            <w:pPr>
              <w:widowControl/>
              <w:jc w:val="left"/>
              <w:textAlignment w:val="center"/>
              <w:rPr>
                <w:rFonts w:asciiTheme="minorEastAsia" w:eastAsiaTheme="minorEastAsia" w:hAnsiTheme="minorEastAsia" w:cstheme="minorEastAsia"/>
                <w:color w:val="000000"/>
                <w:sz w:val="24"/>
              </w:rPr>
            </w:pPr>
            <w:r>
              <w:rPr>
                <w:rFonts w:asciiTheme="minorEastAsia" w:eastAsiaTheme="minorEastAsia" w:hAnsiTheme="minorEastAsia" w:cstheme="minorEastAsia" w:hint="eastAsia"/>
                <w:color w:val="000000"/>
                <w:kern w:val="0"/>
                <w:sz w:val="22"/>
                <w:szCs w:val="22"/>
              </w:rPr>
              <w:t>注：安徽大学没有国有资本经营预算拨款收入，也没有国有资本经营预算支出，故本表无数据。</w:t>
            </w:r>
          </w:p>
        </w:tc>
      </w:tr>
    </w:tbl>
    <w:p w:rsidR="00593B0F" w:rsidRDefault="00E31212">
      <w:pPr>
        <w:rPr>
          <w:sz w:val="20"/>
          <w:szCs w:val="20"/>
        </w:rPr>
      </w:pPr>
      <w:r>
        <w:rPr>
          <w:rFonts w:hint="eastAsia"/>
          <w:sz w:val="20"/>
          <w:szCs w:val="20"/>
        </w:rPr>
        <w:br w:type="page"/>
      </w:r>
    </w:p>
    <w:tbl>
      <w:tblPr>
        <w:tblW w:w="9120" w:type="dxa"/>
        <w:tblLayout w:type="fixed"/>
        <w:tblCellMar>
          <w:left w:w="0" w:type="dxa"/>
          <w:right w:w="0" w:type="dxa"/>
        </w:tblCellMar>
        <w:tblLook w:val="04A0"/>
      </w:tblPr>
      <w:tblGrid>
        <w:gridCol w:w="3180"/>
        <w:gridCol w:w="1260"/>
        <w:gridCol w:w="3390"/>
        <w:gridCol w:w="1290"/>
      </w:tblGrid>
      <w:tr w:rsidR="00593B0F">
        <w:trPr>
          <w:trHeight w:val="23"/>
        </w:trPr>
        <w:tc>
          <w:tcPr>
            <w:tcW w:w="3180" w:type="dxa"/>
            <w:tcBorders>
              <w:top w:val="nil"/>
              <w:left w:val="nil"/>
              <w:bottom w:val="nil"/>
              <w:right w:val="nil"/>
            </w:tcBorders>
            <w:tcMar>
              <w:top w:w="15" w:type="dxa"/>
              <w:left w:w="15" w:type="dxa"/>
              <w:right w:w="15" w:type="dxa"/>
            </w:tcMar>
            <w:vAlign w:val="center"/>
          </w:tcPr>
          <w:p w:rsidR="00593B0F" w:rsidRDefault="00E31212">
            <w:pPr>
              <w:rPr>
                <w:rFonts w:asciiTheme="minorEastAsia" w:eastAsiaTheme="minorEastAsia" w:hAnsiTheme="minorEastAsia" w:cstheme="minorEastAsia"/>
                <w:color w:val="000000"/>
                <w:sz w:val="22"/>
                <w:szCs w:val="22"/>
              </w:rPr>
            </w:pPr>
            <w:r>
              <w:rPr>
                <w:rFonts w:asciiTheme="minorEastAsia" w:eastAsiaTheme="minorEastAsia" w:hAnsiTheme="minorEastAsia" w:cstheme="minorEastAsia" w:hint="eastAsia"/>
                <w:color w:val="000000"/>
                <w:sz w:val="22"/>
                <w:szCs w:val="22"/>
              </w:rPr>
              <w:lastRenderedPageBreak/>
              <w:br w:type="page"/>
            </w:r>
          </w:p>
        </w:tc>
        <w:tc>
          <w:tcPr>
            <w:tcW w:w="1260"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4"/>
              </w:rPr>
            </w:pPr>
          </w:p>
        </w:tc>
        <w:tc>
          <w:tcPr>
            <w:tcW w:w="4680" w:type="dxa"/>
            <w:gridSpan w:val="2"/>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部门公开表6</w:t>
            </w:r>
          </w:p>
        </w:tc>
      </w:tr>
      <w:tr w:rsidR="00593B0F">
        <w:trPr>
          <w:trHeight w:val="23"/>
        </w:trPr>
        <w:tc>
          <w:tcPr>
            <w:tcW w:w="9120" w:type="dxa"/>
            <w:gridSpan w:val="4"/>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center"/>
              <w:textAlignment w:val="center"/>
              <w:rPr>
                <w:rFonts w:ascii="华文中宋" w:eastAsia="华文中宋" w:hAnsi="华文中宋" w:cs="华文中宋"/>
                <w:b/>
                <w:color w:val="000000"/>
                <w:sz w:val="36"/>
                <w:szCs w:val="36"/>
              </w:rPr>
            </w:pPr>
            <w:r>
              <w:rPr>
                <w:rFonts w:ascii="华文中宋" w:eastAsia="华文中宋" w:hAnsi="华文中宋" w:cs="华文中宋" w:hint="eastAsia"/>
                <w:b/>
                <w:color w:val="000000"/>
                <w:kern w:val="0"/>
                <w:sz w:val="36"/>
                <w:szCs w:val="36"/>
              </w:rPr>
              <w:t>安徽大学2019年收支总表</w:t>
            </w:r>
          </w:p>
        </w:tc>
      </w:tr>
      <w:tr w:rsidR="00593B0F">
        <w:trPr>
          <w:trHeight w:val="23"/>
        </w:trPr>
        <w:tc>
          <w:tcPr>
            <w:tcW w:w="3180"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left"/>
              <w:rPr>
                <w:rFonts w:asciiTheme="minorEastAsia" w:eastAsiaTheme="minorEastAsia" w:hAnsiTheme="minorEastAsia" w:cstheme="minorEastAsia"/>
                <w:color w:val="000000"/>
                <w:sz w:val="20"/>
                <w:szCs w:val="20"/>
              </w:rPr>
            </w:pPr>
          </w:p>
        </w:tc>
        <w:tc>
          <w:tcPr>
            <w:tcW w:w="1260"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left"/>
              <w:rPr>
                <w:rFonts w:asciiTheme="minorEastAsia" w:eastAsiaTheme="minorEastAsia" w:hAnsiTheme="minorEastAsia" w:cstheme="minorEastAsia"/>
                <w:color w:val="000000"/>
                <w:sz w:val="20"/>
                <w:szCs w:val="20"/>
              </w:rPr>
            </w:pPr>
          </w:p>
        </w:tc>
        <w:tc>
          <w:tcPr>
            <w:tcW w:w="4680" w:type="dxa"/>
            <w:gridSpan w:val="2"/>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单位：万元</w:t>
            </w:r>
          </w:p>
        </w:tc>
      </w:tr>
      <w:tr w:rsidR="00593B0F">
        <w:trPr>
          <w:trHeight w:val="283"/>
        </w:trPr>
        <w:tc>
          <w:tcPr>
            <w:tcW w:w="444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rPr>
              <w:t xml:space="preserve">收  入             </w:t>
            </w:r>
          </w:p>
        </w:tc>
        <w:tc>
          <w:tcPr>
            <w:tcW w:w="468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rPr>
              <w:t>支  出</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rPr>
              <w:t>项目</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rPr>
              <w:t>预算数</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rPr>
              <w:t>项目</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0"/>
                <w:szCs w:val="20"/>
              </w:rPr>
            </w:pPr>
            <w:r>
              <w:rPr>
                <w:rFonts w:asciiTheme="minorEastAsia" w:eastAsiaTheme="minorEastAsia" w:hAnsiTheme="minorEastAsia" w:cstheme="minorEastAsia" w:hint="eastAsia"/>
                <w:b/>
                <w:color w:val="000000"/>
                <w:kern w:val="0"/>
                <w:sz w:val="20"/>
                <w:szCs w:val="20"/>
              </w:rPr>
              <w:t>预算数</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一、一般公共预算拨款收入</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32,553.50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一、一般公共服务支出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4"/>
                <w:szCs w:val="24"/>
              </w:rPr>
            </w:pPr>
            <w:r>
              <w:rPr>
                <w:rFonts w:hint="eastAsia"/>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二、政府性基金预算拨款收入</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二、外交支出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4"/>
                <w:szCs w:val="24"/>
              </w:rPr>
            </w:pPr>
            <w:r>
              <w:rPr>
                <w:rFonts w:hint="eastAsia"/>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三、国有资本经营预算拨款收入</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三、国防支出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4"/>
                <w:szCs w:val="24"/>
              </w:rPr>
            </w:pPr>
            <w:r>
              <w:rPr>
                <w:rFonts w:hint="eastAsia"/>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四、纳入专户管理政府非税收入</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23,392.50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四、公共安全支出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4"/>
                <w:szCs w:val="24"/>
              </w:rPr>
            </w:pPr>
            <w:r>
              <w:rPr>
                <w:rFonts w:hint="eastAsia"/>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五、其他收入</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22,353.00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五、教育支出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76,776.00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六、科学技术支出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七、文化旅游体育与传媒支出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八、社会保障和就业支出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958.70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九、卫生健康支出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427.50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十、节能环保支出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十一、城乡社区支出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十二、农林水支出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十三、交通运输支出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十四、资源勘探信息等支出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十五、商业服务业等支出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十六、金融支出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十七、援助其他地区支出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十八、自然资源海洋气象等支出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十九、住房保障支出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136.80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二十、粮油物资储备支出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二十一、灾害防治及应急管理支出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二十二、其他支出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二十三、债务还本支出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二十四、债务付息支出</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本年收入小计</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78,299.00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本年支出小计</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78,299.00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上年结转</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结转下年</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一般公共预算</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一般公共预算</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政府性基金预算</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政府性基金预算</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国有资本经营预算</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国有资本经营预算</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财政专户</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财政专户</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其他</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其他</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bottom"/>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　</w:t>
            </w:r>
          </w:p>
        </w:tc>
      </w:tr>
      <w:tr w:rsidR="00593B0F">
        <w:trPr>
          <w:trHeight w:val="283"/>
        </w:trPr>
        <w:tc>
          <w:tcPr>
            <w:tcW w:w="31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收入总计</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78,299.00 </w:t>
            </w:r>
          </w:p>
        </w:tc>
        <w:tc>
          <w:tcPr>
            <w:tcW w:w="33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支出总计</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 xml:space="preserve">78,299.00 </w:t>
            </w:r>
          </w:p>
        </w:tc>
      </w:tr>
    </w:tbl>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0"/>
          <w:szCs w:val="20"/>
        </w:rPr>
      </w:pPr>
    </w:p>
    <w:p w:rsidR="00593B0F" w:rsidRDefault="00593B0F">
      <w:pPr>
        <w:widowControl/>
        <w:rPr>
          <w:rFonts w:ascii="华文中宋" w:eastAsia="华文中宋" w:hAnsi="华文中宋" w:cs="宋体"/>
          <w:b/>
          <w:bCs/>
          <w:kern w:val="0"/>
          <w:sz w:val="36"/>
          <w:szCs w:val="36"/>
          <w:u w:val="single"/>
        </w:rPr>
        <w:sectPr w:rsidR="00593B0F">
          <w:footerReference w:type="default" r:id="rId7"/>
          <w:pgSz w:w="11906" w:h="16838"/>
          <w:pgMar w:top="1984" w:right="1416" w:bottom="1984" w:left="1417" w:header="851" w:footer="992" w:gutter="0"/>
          <w:cols w:space="720"/>
          <w:docGrid w:type="lines" w:linePitch="312"/>
        </w:sectPr>
      </w:pPr>
    </w:p>
    <w:tbl>
      <w:tblPr>
        <w:tblW w:w="14030" w:type="dxa"/>
        <w:tblLayout w:type="fixed"/>
        <w:tblCellMar>
          <w:left w:w="0" w:type="dxa"/>
          <w:right w:w="0" w:type="dxa"/>
        </w:tblCellMar>
        <w:tblLook w:val="04A0"/>
      </w:tblPr>
      <w:tblGrid>
        <w:gridCol w:w="915"/>
        <w:gridCol w:w="3875"/>
        <w:gridCol w:w="1455"/>
        <w:gridCol w:w="1020"/>
        <w:gridCol w:w="1335"/>
        <w:gridCol w:w="1485"/>
        <w:gridCol w:w="1245"/>
        <w:gridCol w:w="1515"/>
        <w:gridCol w:w="1185"/>
      </w:tblGrid>
      <w:tr w:rsidR="00593B0F">
        <w:trPr>
          <w:trHeight w:val="23"/>
        </w:trPr>
        <w:tc>
          <w:tcPr>
            <w:tcW w:w="91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2"/>
                <w:szCs w:val="22"/>
              </w:rPr>
            </w:pPr>
          </w:p>
        </w:tc>
        <w:tc>
          <w:tcPr>
            <w:tcW w:w="387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4"/>
              </w:rPr>
            </w:pPr>
          </w:p>
        </w:tc>
        <w:tc>
          <w:tcPr>
            <w:tcW w:w="145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4"/>
              </w:rPr>
            </w:pPr>
          </w:p>
        </w:tc>
        <w:tc>
          <w:tcPr>
            <w:tcW w:w="1020"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4"/>
              </w:rPr>
            </w:pPr>
          </w:p>
        </w:tc>
        <w:tc>
          <w:tcPr>
            <w:tcW w:w="133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4"/>
              </w:rPr>
            </w:pPr>
          </w:p>
        </w:tc>
        <w:tc>
          <w:tcPr>
            <w:tcW w:w="148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4"/>
              </w:rPr>
            </w:pPr>
          </w:p>
        </w:tc>
        <w:tc>
          <w:tcPr>
            <w:tcW w:w="124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4"/>
              </w:rPr>
            </w:pPr>
          </w:p>
        </w:tc>
        <w:tc>
          <w:tcPr>
            <w:tcW w:w="2700" w:type="dxa"/>
            <w:gridSpan w:val="2"/>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部门公开表7</w:t>
            </w:r>
          </w:p>
        </w:tc>
      </w:tr>
      <w:tr w:rsidR="00593B0F">
        <w:trPr>
          <w:trHeight w:val="23"/>
        </w:trPr>
        <w:tc>
          <w:tcPr>
            <w:tcW w:w="14030" w:type="dxa"/>
            <w:gridSpan w:val="9"/>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center"/>
              <w:textAlignment w:val="center"/>
              <w:rPr>
                <w:rFonts w:ascii="华文中宋" w:eastAsia="华文中宋" w:hAnsi="华文中宋" w:cs="华文中宋"/>
                <w:b/>
                <w:color w:val="000000"/>
                <w:sz w:val="36"/>
                <w:szCs w:val="36"/>
              </w:rPr>
            </w:pPr>
            <w:r>
              <w:rPr>
                <w:rFonts w:ascii="华文中宋" w:eastAsia="华文中宋" w:hAnsi="华文中宋" w:cs="华文中宋" w:hint="eastAsia"/>
                <w:b/>
                <w:color w:val="000000"/>
                <w:kern w:val="0"/>
                <w:sz w:val="36"/>
                <w:szCs w:val="36"/>
              </w:rPr>
              <w:t>安徽大学2019年收入预算总表</w:t>
            </w:r>
          </w:p>
        </w:tc>
      </w:tr>
      <w:tr w:rsidR="00593B0F">
        <w:trPr>
          <w:trHeight w:val="23"/>
        </w:trPr>
        <w:tc>
          <w:tcPr>
            <w:tcW w:w="915" w:type="dxa"/>
            <w:tcBorders>
              <w:top w:val="nil"/>
              <w:left w:val="nil"/>
              <w:bottom w:val="single" w:sz="4" w:space="0" w:color="000000"/>
              <w:right w:val="nil"/>
            </w:tcBorders>
            <w:tcMar>
              <w:top w:w="15" w:type="dxa"/>
              <w:left w:w="15" w:type="dxa"/>
              <w:right w:w="15" w:type="dxa"/>
            </w:tcMar>
            <w:vAlign w:val="center"/>
          </w:tcPr>
          <w:p w:rsidR="00593B0F" w:rsidRDefault="00593B0F">
            <w:pPr>
              <w:widowControl/>
              <w:spacing w:line="0" w:lineRule="atLeast"/>
              <w:jc w:val="left"/>
              <w:rPr>
                <w:rFonts w:asciiTheme="minorEastAsia" w:eastAsiaTheme="minorEastAsia" w:hAnsiTheme="minorEastAsia" w:cstheme="minorEastAsia"/>
                <w:color w:val="000000"/>
                <w:sz w:val="20"/>
                <w:szCs w:val="20"/>
              </w:rPr>
            </w:pPr>
          </w:p>
        </w:tc>
        <w:tc>
          <w:tcPr>
            <w:tcW w:w="3875" w:type="dxa"/>
            <w:tcBorders>
              <w:top w:val="nil"/>
              <w:left w:val="nil"/>
              <w:bottom w:val="single" w:sz="4" w:space="0" w:color="000000"/>
              <w:right w:val="nil"/>
            </w:tcBorders>
            <w:tcMar>
              <w:top w:w="15" w:type="dxa"/>
              <w:left w:w="15" w:type="dxa"/>
              <w:right w:w="15" w:type="dxa"/>
            </w:tcMar>
            <w:vAlign w:val="center"/>
          </w:tcPr>
          <w:p w:rsidR="00593B0F" w:rsidRDefault="00593B0F">
            <w:pPr>
              <w:widowControl/>
              <w:spacing w:line="0" w:lineRule="atLeast"/>
              <w:jc w:val="left"/>
              <w:rPr>
                <w:rFonts w:asciiTheme="minorEastAsia" w:eastAsiaTheme="minorEastAsia" w:hAnsiTheme="minorEastAsia" w:cstheme="minorEastAsia"/>
                <w:color w:val="000000"/>
                <w:sz w:val="20"/>
                <w:szCs w:val="20"/>
              </w:rPr>
            </w:pPr>
          </w:p>
        </w:tc>
        <w:tc>
          <w:tcPr>
            <w:tcW w:w="145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0"/>
                <w:szCs w:val="20"/>
              </w:rPr>
            </w:pPr>
          </w:p>
        </w:tc>
        <w:tc>
          <w:tcPr>
            <w:tcW w:w="1020"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0"/>
                <w:szCs w:val="20"/>
              </w:rPr>
            </w:pPr>
          </w:p>
        </w:tc>
        <w:tc>
          <w:tcPr>
            <w:tcW w:w="133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0"/>
                <w:szCs w:val="20"/>
              </w:rPr>
            </w:pPr>
          </w:p>
        </w:tc>
        <w:tc>
          <w:tcPr>
            <w:tcW w:w="148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0"/>
                <w:szCs w:val="20"/>
              </w:rPr>
            </w:pPr>
          </w:p>
        </w:tc>
        <w:tc>
          <w:tcPr>
            <w:tcW w:w="124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0"/>
                <w:szCs w:val="20"/>
              </w:rPr>
            </w:pPr>
          </w:p>
        </w:tc>
        <w:tc>
          <w:tcPr>
            <w:tcW w:w="2700" w:type="dxa"/>
            <w:gridSpan w:val="2"/>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单位：万元</w:t>
            </w:r>
          </w:p>
        </w:tc>
      </w:tr>
      <w:tr w:rsidR="00593B0F">
        <w:trPr>
          <w:trHeight w:val="397"/>
        </w:trPr>
        <w:tc>
          <w:tcPr>
            <w:tcW w:w="479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功能分类科目</w:t>
            </w:r>
          </w:p>
        </w:tc>
        <w:tc>
          <w:tcPr>
            <w:tcW w:w="14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合计</w:t>
            </w:r>
          </w:p>
        </w:tc>
        <w:tc>
          <w:tcPr>
            <w:tcW w:w="102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上年结余收入</w:t>
            </w:r>
          </w:p>
        </w:tc>
        <w:tc>
          <w:tcPr>
            <w:tcW w:w="133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一般公共预算拨款收入</w:t>
            </w:r>
          </w:p>
        </w:tc>
        <w:tc>
          <w:tcPr>
            <w:tcW w:w="14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政府性基金预算拨款收入</w:t>
            </w:r>
          </w:p>
        </w:tc>
        <w:tc>
          <w:tcPr>
            <w:tcW w:w="124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国有资本经营预算拨款收入</w:t>
            </w:r>
          </w:p>
        </w:tc>
        <w:tc>
          <w:tcPr>
            <w:tcW w:w="151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纳入专户管理的政府非税收入</w:t>
            </w:r>
          </w:p>
        </w:tc>
        <w:tc>
          <w:tcPr>
            <w:tcW w:w="118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其他收入</w:t>
            </w: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科目编码</w:t>
            </w: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科目名称</w:t>
            </w:r>
          </w:p>
        </w:tc>
        <w:tc>
          <w:tcPr>
            <w:tcW w:w="14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b/>
                <w:color w:val="000000"/>
                <w:sz w:val="22"/>
                <w:szCs w:val="22"/>
              </w:rPr>
            </w:pPr>
          </w:p>
        </w:tc>
        <w:tc>
          <w:tcPr>
            <w:tcW w:w="102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b/>
                <w:color w:val="000000"/>
                <w:sz w:val="22"/>
                <w:szCs w:val="22"/>
              </w:rPr>
            </w:pPr>
          </w:p>
        </w:tc>
        <w:tc>
          <w:tcPr>
            <w:tcW w:w="133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b/>
                <w:color w:val="000000"/>
                <w:sz w:val="22"/>
                <w:szCs w:val="22"/>
              </w:rPr>
            </w:pPr>
          </w:p>
        </w:tc>
        <w:tc>
          <w:tcPr>
            <w:tcW w:w="14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b/>
                <w:color w:val="000000"/>
                <w:sz w:val="22"/>
                <w:szCs w:val="22"/>
              </w:rPr>
            </w:pPr>
          </w:p>
        </w:tc>
        <w:tc>
          <w:tcPr>
            <w:tcW w:w="124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b/>
                <w:color w:val="000000"/>
                <w:sz w:val="22"/>
                <w:szCs w:val="22"/>
              </w:rPr>
            </w:pPr>
          </w:p>
        </w:tc>
        <w:tc>
          <w:tcPr>
            <w:tcW w:w="151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b/>
                <w:color w:val="000000"/>
                <w:sz w:val="22"/>
                <w:szCs w:val="22"/>
              </w:rPr>
            </w:pPr>
          </w:p>
        </w:tc>
        <w:tc>
          <w:tcPr>
            <w:tcW w:w="118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b/>
                <w:color w:val="000000"/>
                <w:sz w:val="22"/>
                <w:szCs w:val="22"/>
              </w:rPr>
            </w:pP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205</w:t>
            </w: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教育支出</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76,776.0</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31,230.5</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23,192.5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22,353.0</w:t>
            </w: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20502</w:t>
            </w: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普通教育</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76,776.0</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31,230.5</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23,192.5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22,353.0</w:t>
            </w: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2050205</w:t>
            </w: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高等教育</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76,776.0</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31,230.5</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23,192.5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22,353.0</w:t>
            </w: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208</w:t>
            </w: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社会保障和就业支出</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958.7</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958.7</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20805</w:t>
            </w: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行政事业单位离退休</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958.7</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958.7</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2080502</w:t>
            </w: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事业单位离退休</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958.7</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958.7</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210</w:t>
            </w: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卫生健康支出</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427.5</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227.5</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200.0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21011</w:t>
            </w: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行政事业单位医疗</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427.5</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227.5</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200.0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2101102</w:t>
            </w: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事业单位医疗</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427.5</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227.5</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200.0</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221</w:t>
            </w: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住房保障支出</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136.8</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136.8</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22102</w:t>
            </w: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住房改革支出</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136.8</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136.8</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2210202</w:t>
            </w: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提租补贴</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136.8</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136.8</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rPr>
                <w:rFonts w:asciiTheme="minorEastAsia" w:eastAsiaTheme="minorEastAsia" w:hAnsiTheme="minorEastAsia" w:cs="宋体"/>
                <w:sz w:val="22"/>
                <w:szCs w:val="22"/>
              </w:rPr>
            </w:pP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rPr>
                <w:rFonts w:asciiTheme="minorEastAsia" w:eastAsiaTheme="minorEastAsia" w:hAnsiTheme="minorEastAsia" w:cs="宋体"/>
                <w:sz w:val="22"/>
                <w:szCs w:val="22"/>
              </w:rPr>
            </w:pP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宋体"/>
                <w:sz w:val="22"/>
                <w:szCs w:val="22"/>
              </w:rPr>
            </w:pP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宋体"/>
                <w:sz w:val="22"/>
                <w:szCs w:val="22"/>
              </w:rPr>
            </w:pP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宋体"/>
                <w:sz w:val="22"/>
                <w:szCs w:val="22"/>
              </w:rPr>
            </w:pP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宋体"/>
                <w:sz w:val="22"/>
                <w:szCs w:val="22"/>
              </w:rPr>
            </w:pP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宋体"/>
                <w:sz w:val="22"/>
                <w:szCs w:val="22"/>
              </w:rPr>
            </w:pP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宋体"/>
                <w:sz w:val="22"/>
                <w:szCs w:val="22"/>
              </w:rPr>
            </w:pP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rFonts w:asciiTheme="minorEastAsia" w:eastAsiaTheme="minorEastAsia" w:hAnsiTheme="minorEastAsia" w:cs="宋体"/>
                <w:sz w:val="22"/>
                <w:szCs w:val="22"/>
              </w:rPr>
            </w:pPr>
          </w:p>
        </w:tc>
      </w:tr>
      <w:tr w:rsidR="00593B0F">
        <w:trPr>
          <w:trHeight w:val="397"/>
        </w:trPr>
        <w:tc>
          <w:tcPr>
            <w:tcW w:w="9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kern w:val="0"/>
                <w:sz w:val="22"/>
                <w:szCs w:val="22"/>
              </w:rPr>
            </w:pPr>
          </w:p>
        </w:tc>
        <w:tc>
          <w:tcPr>
            <w:tcW w:w="38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合计</w:t>
            </w:r>
          </w:p>
        </w:tc>
        <w:tc>
          <w:tcPr>
            <w:tcW w:w="14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78,299.0</w:t>
            </w:r>
          </w:p>
        </w:tc>
        <w:tc>
          <w:tcPr>
            <w:tcW w:w="102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3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32,553.5</w:t>
            </w:r>
          </w:p>
        </w:tc>
        <w:tc>
          <w:tcPr>
            <w:tcW w:w="14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24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 xml:space="preserve">　</w:t>
            </w:r>
          </w:p>
        </w:tc>
        <w:tc>
          <w:tcPr>
            <w:tcW w:w="151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23,392.5</w:t>
            </w:r>
          </w:p>
        </w:tc>
        <w:tc>
          <w:tcPr>
            <w:tcW w:w="11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Theme="minorEastAsia" w:eastAsiaTheme="minorEastAsia" w:hAnsiTheme="minorEastAsia" w:cs="宋体"/>
                <w:sz w:val="22"/>
                <w:szCs w:val="22"/>
              </w:rPr>
            </w:pPr>
            <w:r>
              <w:rPr>
                <w:rFonts w:asciiTheme="minorEastAsia" w:eastAsiaTheme="minorEastAsia" w:hAnsiTheme="minorEastAsia" w:hint="eastAsia"/>
                <w:sz w:val="22"/>
                <w:szCs w:val="22"/>
              </w:rPr>
              <w:t>22,353.0</w:t>
            </w:r>
          </w:p>
        </w:tc>
      </w:tr>
    </w:tbl>
    <w:p w:rsidR="00593B0F" w:rsidRDefault="00593B0F">
      <w:pPr>
        <w:widowControl/>
      </w:pPr>
    </w:p>
    <w:p w:rsidR="00593B0F" w:rsidRDefault="00593B0F">
      <w:pPr>
        <w:widowControl/>
        <w:sectPr w:rsidR="00593B0F">
          <w:pgSz w:w="16838" w:h="11906" w:orient="landscape"/>
          <w:pgMar w:top="1797" w:right="1440" w:bottom="1418" w:left="1440" w:header="851" w:footer="992" w:gutter="0"/>
          <w:cols w:space="720"/>
          <w:docGrid w:type="linesAndChars" w:linePitch="312"/>
        </w:sectPr>
      </w:pPr>
    </w:p>
    <w:tbl>
      <w:tblPr>
        <w:tblW w:w="8830" w:type="dxa"/>
        <w:jc w:val="center"/>
        <w:tblLayout w:type="fixed"/>
        <w:tblCellMar>
          <w:left w:w="0" w:type="dxa"/>
          <w:right w:w="0" w:type="dxa"/>
        </w:tblCellMar>
        <w:tblLook w:val="04A0"/>
      </w:tblPr>
      <w:tblGrid>
        <w:gridCol w:w="1035"/>
        <w:gridCol w:w="4290"/>
        <w:gridCol w:w="1196"/>
        <w:gridCol w:w="1110"/>
        <w:gridCol w:w="1199"/>
      </w:tblGrid>
      <w:tr w:rsidR="00593B0F">
        <w:trPr>
          <w:trHeight w:val="23"/>
          <w:jc w:val="center"/>
        </w:trPr>
        <w:tc>
          <w:tcPr>
            <w:tcW w:w="103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2"/>
                <w:szCs w:val="22"/>
              </w:rPr>
            </w:pPr>
          </w:p>
        </w:tc>
        <w:tc>
          <w:tcPr>
            <w:tcW w:w="4290"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4"/>
              </w:rPr>
            </w:pPr>
          </w:p>
        </w:tc>
        <w:tc>
          <w:tcPr>
            <w:tcW w:w="1196"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4"/>
              </w:rPr>
            </w:pPr>
          </w:p>
        </w:tc>
        <w:tc>
          <w:tcPr>
            <w:tcW w:w="2309" w:type="dxa"/>
            <w:gridSpan w:val="2"/>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部门公开表8</w:t>
            </w:r>
          </w:p>
        </w:tc>
      </w:tr>
      <w:tr w:rsidR="00593B0F">
        <w:trPr>
          <w:trHeight w:val="23"/>
          <w:jc w:val="center"/>
        </w:trPr>
        <w:tc>
          <w:tcPr>
            <w:tcW w:w="8830" w:type="dxa"/>
            <w:gridSpan w:val="5"/>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center"/>
              <w:textAlignment w:val="center"/>
              <w:rPr>
                <w:rFonts w:ascii="华文中宋" w:eastAsia="华文中宋" w:hAnsi="华文中宋" w:cs="华文中宋"/>
                <w:b/>
                <w:color w:val="000000"/>
                <w:sz w:val="36"/>
                <w:szCs w:val="36"/>
              </w:rPr>
            </w:pPr>
            <w:r>
              <w:rPr>
                <w:rFonts w:ascii="华文中宋" w:eastAsia="华文中宋" w:hAnsi="华文中宋" w:cs="华文中宋" w:hint="eastAsia"/>
                <w:b/>
                <w:color w:val="000000"/>
                <w:kern w:val="0"/>
                <w:sz w:val="36"/>
                <w:szCs w:val="36"/>
              </w:rPr>
              <w:t>安徽大学2019年支出预算总表</w:t>
            </w:r>
          </w:p>
        </w:tc>
      </w:tr>
      <w:tr w:rsidR="00593B0F">
        <w:trPr>
          <w:trHeight w:val="23"/>
          <w:jc w:val="center"/>
        </w:trPr>
        <w:tc>
          <w:tcPr>
            <w:tcW w:w="1035"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left"/>
              <w:rPr>
                <w:rFonts w:asciiTheme="minorEastAsia" w:eastAsiaTheme="minorEastAsia" w:hAnsiTheme="minorEastAsia" w:cstheme="minorEastAsia"/>
                <w:color w:val="000000"/>
                <w:sz w:val="20"/>
                <w:szCs w:val="20"/>
              </w:rPr>
            </w:pPr>
          </w:p>
        </w:tc>
        <w:tc>
          <w:tcPr>
            <w:tcW w:w="4290"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left"/>
              <w:rPr>
                <w:rFonts w:asciiTheme="minorEastAsia" w:eastAsiaTheme="minorEastAsia" w:hAnsiTheme="minorEastAsia" w:cstheme="minorEastAsia"/>
                <w:color w:val="000000"/>
                <w:sz w:val="20"/>
                <w:szCs w:val="20"/>
              </w:rPr>
            </w:pPr>
          </w:p>
        </w:tc>
        <w:tc>
          <w:tcPr>
            <w:tcW w:w="1196"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jc w:val="left"/>
              <w:rPr>
                <w:rFonts w:asciiTheme="minorEastAsia" w:eastAsiaTheme="minorEastAsia" w:hAnsiTheme="minorEastAsia" w:cstheme="minorEastAsia"/>
                <w:color w:val="000000"/>
                <w:sz w:val="20"/>
                <w:szCs w:val="20"/>
              </w:rPr>
            </w:pPr>
          </w:p>
        </w:tc>
        <w:tc>
          <w:tcPr>
            <w:tcW w:w="2309" w:type="dxa"/>
            <w:gridSpan w:val="2"/>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单位：万元</w:t>
            </w:r>
          </w:p>
        </w:tc>
      </w:tr>
      <w:tr w:rsidR="00593B0F">
        <w:trPr>
          <w:trHeight w:val="23"/>
          <w:jc w:val="center"/>
        </w:trPr>
        <w:tc>
          <w:tcPr>
            <w:tcW w:w="53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4"/>
              </w:rPr>
            </w:pPr>
            <w:r>
              <w:rPr>
                <w:rFonts w:asciiTheme="minorEastAsia" w:eastAsiaTheme="minorEastAsia" w:hAnsiTheme="minorEastAsia" w:cstheme="minorEastAsia" w:hint="eastAsia"/>
                <w:b/>
                <w:color w:val="000000"/>
                <w:kern w:val="0"/>
                <w:sz w:val="24"/>
              </w:rPr>
              <w:t>功能分类科目</w:t>
            </w:r>
          </w:p>
        </w:tc>
        <w:tc>
          <w:tcPr>
            <w:tcW w:w="119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合计</w:t>
            </w:r>
          </w:p>
        </w:tc>
        <w:tc>
          <w:tcPr>
            <w:tcW w:w="111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基本支出</w:t>
            </w:r>
          </w:p>
        </w:tc>
        <w:tc>
          <w:tcPr>
            <w:tcW w:w="119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项目支出</w:t>
            </w:r>
          </w:p>
        </w:tc>
      </w:tr>
      <w:tr w:rsidR="00593B0F">
        <w:trPr>
          <w:trHeight w:val="23"/>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科目编码</w:t>
            </w: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b/>
                <w:color w:val="000000"/>
                <w:sz w:val="22"/>
                <w:szCs w:val="22"/>
              </w:rPr>
            </w:pPr>
            <w:r>
              <w:rPr>
                <w:rFonts w:asciiTheme="minorEastAsia" w:eastAsiaTheme="minorEastAsia" w:hAnsiTheme="minorEastAsia" w:cstheme="minorEastAsia" w:hint="eastAsia"/>
                <w:b/>
                <w:color w:val="000000"/>
                <w:kern w:val="0"/>
                <w:sz w:val="22"/>
                <w:szCs w:val="22"/>
              </w:rPr>
              <w:t>科目名称</w:t>
            </w:r>
          </w:p>
        </w:tc>
        <w:tc>
          <w:tcPr>
            <w:tcW w:w="119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b/>
                <w:color w:val="000000"/>
                <w:sz w:val="22"/>
                <w:szCs w:val="22"/>
              </w:rPr>
            </w:pPr>
          </w:p>
        </w:tc>
        <w:tc>
          <w:tcPr>
            <w:tcW w:w="111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b/>
                <w:color w:val="000000"/>
                <w:sz w:val="22"/>
                <w:szCs w:val="22"/>
              </w:rPr>
            </w:pPr>
          </w:p>
        </w:tc>
        <w:tc>
          <w:tcPr>
            <w:tcW w:w="119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b/>
                <w:color w:val="000000"/>
                <w:sz w:val="22"/>
                <w:szCs w:val="22"/>
              </w:rPr>
            </w:pP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205</w:t>
            </w: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教育支出</w:t>
            </w: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76,776.0</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70,662.9</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6,113.1</w:t>
            </w: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20502</w:t>
            </w: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普通教育</w:t>
            </w: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76,776.0</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70,662.9</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6,113.1</w:t>
            </w: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2050205</w:t>
            </w: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高等教育</w:t>
            </w: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76,776.0</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70,662.9</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6,113.1</w:t>
            </w: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208</w:t>
            </w: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社会保障和就业支出</w:t>
            </w: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958.7</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958.7</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20805</w:t>
            </w: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行政事业单位离退休</w:t>
            </w: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958.7</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958.7</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2080502</w:t>
            </w: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事业单位离退休</w:t>
            </w: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958.7</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958.7</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210</w:t>
            </w: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卫生健康支出</w:t>
            </w: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427.5</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427.5</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21011</w:t>
            </w: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行政事业单位医疗</w:t>
            </w: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427.5</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427.5</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2101102</w:t>
            </w: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事业单位医疗</w:t>
            </w: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427.5</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427.5</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221</w:t>
            </w: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住房保障支出</w:t>
            </w: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136.8</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136.8</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22102</w:t>
            </w: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住房改革支出</w:t>
            </w: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136.8</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136.8</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2210202</w:t>
            </w: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2"/>
                <w:szCs w:val="22"/>
              </w:rPr>
            </w:pPr>
            <w:r>
              <w:rPr>
                <w:rFonts w:ascii="宋体" w:eastAsia="宋体" w:hAnsi="宋体" w:cs="宋体" w:hint="eastAsia"/>
                <w:sz w:val="22"/>
                <w:szCs w:val="22"/>
              </w:rPr>
              <w:t xml:space="preserve">    提租补贴</w:t>
            </w: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136.8</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136.8</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 xml:space="preserve">　</w:t>
            </w: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rPr>
                <w:sz w:val="22"/>
                <w:szCs w:val="22"/>
              </w:rPr>
            </w:pP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sz w:val="22"/>
                <w:szCs w:val="22"/>
              </w:rPr>
            </w:pP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sz w:val="22"/>
                <w:szCs w:val="22"/>
              </w:rPr>
            </w:pP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rPr>
                <w:sz w:val="22"/>
                <w:szCs w:val="22"/>
              </w:rPr>
            </w:pP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sz w:val="22"/>
                <w:szCs w:val="22"/>
              </w:rPr>
            </w:pP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sz w:val="22"/>
                <w:szCs w:val="22"/>
              </w:rPr>
            </w:pP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jc w:val="right"/>
              <w:rPr>
                <w:sz w:val="22"/>
                <w:szCs w:val="22"/>
              </w:rPr>
            </w:pPr>
          </w:p>
        </w:tc>
      </w:tr>
      <w:tr w:rsidR="00593B0F">
        <w:trPr>
          <w:trHeight w:val="285"/>
          <w:jc w:val="center"/>
        </w:trPr>
        <w:tc>
          <w:tcPr>
            <w:tcW w:w="103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jc w:val="left"/>
              <w:textAlignment w:val="center"/>
              <w:rPr>
                <w:rFonts w:asciiTheme="minorEastAsia" w:eastAsiaTheme="minorEastAsia" w:hAnsiTheme="minorEastAsia" w:cstheme="minorEastAsia"/>
                <w:color w:val="000000"/>
                <w:kern w:val="0"/>
                <w:sz w:val="22"/>
                <w:szCs w:val="22"/>
              </w:rPr>
            </w:pPr>
          </w:p>
        </w:tc>
        <w:tc>
          <w:tcPr>
            <w:tcW w:w="429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jc w:val="center"/>
              <w:textAlignment w:val="center"/>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合计</w:t>
            </w:r>
          </w:p>
        </w:tc>
        <w:tc>
          <w:tcPr>
            <w:tcW w:w="119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78,299.0</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72,185.9</w:t>
            </w:r>
          </w:p>
        </w:tc>
        <w:tc>
          <w:tcPr>
            <w:tcW w:w="11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22"/>
                <w:szCs w:val="22"/>
              </w:rPr>
            </w:pPr>
            <w:r>
              <w:rPr>
                <w:rFonts w:hint="eastAsia"/>
                <w:sz w:val="22"/>
                <w:szCs w:val="22"/>
              </w:rPr>
              <w:t>6,113.1</w:t>
            </w:r>
          </w:p>
        </w:tc>
      </w:tr>
    </w:tbl>
    <w:p w:rsidR="00593B0F" w:rsidRDefault="00E31212">
      <w:pPr>
        <w:rPr>
          <w:rFonts w:ascii="黑体" w:eastAsia="黑体" w:hAnsi="黑体"/>
          <w:bCs/>
          <w:sz w:val="36"/>
          <w:szCs w:val="36"/>
        </w:rPr>
      </w:pPr>
      <w:r>
        <w:rPr>
          <w:rFonts w:ascii="黑体" w:eastAsia="黑体" w:hAnsi="黑体" w:hint="eastAsia"/>
          <w:bCs/>
          <w:sz w:val="36"/>
          <w:szCs w:val="36"/>
        </w:rPr>
        <w:br w:type="page"/>
      </w:r>
    </w:p>
    <w:tbl>
      <w:tblPr>
        <w:tblW w:w="9100" w:type="dxa"/>
        <w:jc w:val="center"/>
        <w:tblLayout w:type="fixed"/>
        <w:tblCellMar>
          <w:left w:w="0" w:type="dxa"/>
          <w:right w:w="0" w:type="dxa"/>
        </w:tblCellMar>
        <w:tblLook w:val="04A0"/>
      </w:tblPr>
      <w:tblGrid>
        <w:gridCol w:w="1892"/>
        <w:gridCol w:w="1142"/>
        <w:gridCol w:w="1056"/>
        <w:gridCol w:w="754"/>
        <w:gridCol w:w="65"/>
        <w:gridCol w:w="219"/>
        <w:gridCol w:w="595"/>
        <w:gridCol w:w="335"/>
        <w:gridCol w:w="500"/>
        <w:gridCol w:w="529"/>
        <w:gridCol w:w="287"/>
        <w:gridCol w:w="779"/>
        <w:gridCol w:w="816"/>
        <w:gridCol w:w="131"/>
      </w:tblGrid>
      <w:tr w:rsidR="00593B0F">
        <w:trPr>
          <w:gridAfter w:val="1"/>
          <w:wAfter w:w="131" w:type="dxa"/>
          <w:trHeight w:val="23"/>
          <w:jc w:val="center"/>
        </w:trPr>
        <w:tc>
          <w:tcPr>
            <w:tcW w:w="4845" w:type="dxa"/>
            <w:gridSpan w:val="4"/>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879" w:type="dxa"/>
            <w:gridSpan w:val="3"/>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835" w:type="dxa"/>
            <w:gridSpan w:val="2"/>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815" w:type="dxa"/>
            <w:gridSpan w:val="2"/>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1595" w:type="dxa"/>
            <w:gridSpan w:val="2"/>
            <w:tcBorders>
              <w:top w:val="nil"/>
              <w:left w:val="nil"/>
              <w:bottom w:val="nil"/>
              <w:right w:val="nil"/>
            </w:tcBorders>
            <w:tcMar>
              <w:top w:w="15" w:type="dxa"/>
              <w:left w:w="15" w:type="dxa"/>
              <w:right w:w="15" w:type="dxa"/>
            </w:tcMar>
            <w:vAlign w:val="bottom"/>
          </w:tcPr>
          <w:p w:rsidR="00593B0F" w:rsidRDefault="00E31212">
            <w:pPr>
              <w:widowControl/>
              <w:spacing w:line="0" w:lineRule="atLeast"/>
              <w:jc w:val="right"/>
              <w:textAlignment w:val="bottom"/>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部门公开表9</w:t>
            </w:r>
          </w:p>
        </w:tc>
      </w:tr>
      <w:tr w:rsidR="00593B0F">
        <w:trPr>
          <w:gridAfter w:val="1"/>
          <w:wAfter w:w="131" w:type="dxa"/>
          <w:trHeight w:val="23"/>
          <w:jc w:val="center"/>
        </w:trPr>
        <w:tc>
          <w:tcPr>
            <w:tcW w:w="8969" w:type="dxa"/>
            <w:gridSpan w:val="13"/>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center"/>
              <w:textAlignment w:val="center"/>
              <w:rPr>
                <w:rFonts w:ascii="华文中宋" w:eastAsia="华文中宋" w:hAnsi="华文中宋" w:cs="华文中宋"/>
                <w:b/>
                <w:color w:val="000000"/>
                <w:sz w:val="36"/>
                <w:szCs w:val="36"/>
              </w:rPr>
            </w:pPr>
            <w:r>
              <w:rPr>
                <w:rFonts w:ascii="华文中宋" w:eastAsia="华文中宋" w:hAnsi="华文中宋" w:cs="华文中宋" w:hint="eastAsia"/>
                <w:b/>
                <w:color w:val="000000"/>
                <w:kern w:val="0"/>
                <w:sz w:val="36"/>
                <w:szCs w:val="36"/>
              </w:rPr>
              <w:t>安徽大学2019年政府采购支出表</w:t>
            </w:r>
          </w:p>
        </w:tc>
      </w:tr>
      <w:tr w:rsidR="00593B0F">
        <w:trPr>
          <w:gridAfter w:val="1"/>
          <w:wAfter w:w="131" w:type="dxa"/>
          <w:trHeight w:val="23"/>
          <w:jc w:val="center"/>
        </w:trPr>
        <w:tc>
          <w:tcPr>
            <w:tcW w:w="4845" w:type="dxa"/>
            <w:gridSpan w:val="4"/>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879" w:type="dxa"/>
            <w:gridSpan w:val="3"/>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b/>
                <w:color w:val="000000"/>
                <w:sz w:val="36"/>
                <w:szCs w:val="36"/>
              </w:rPr>
            </w:pPr>
          </w:p>
        </w:tc>
        <w:tc>
          <w:tcPr>
            <w:tcW w:w="835" w:type="dxa"/>
            <w:gridSpan w:val="2"/>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b/>
                <w:color w:val="000000"/>
                <w:sz w:val="36"/>
                <w:szCs w:val="36"/>
              </w:rPr>
            </w:pPr>
          </w:p>
        </w:tc>
        <w:tc>
          <w:tcPr>
            <w:tcW w:w="815" w:type="dxa"/>
            <w:gridSpan w:val="2"/>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b/>
                <w:color w:val="000000"/>
                <w:sz w:val="36"/>
                <w:szCs w:val="36"/>
              </w:rPr>
            </w:pPr>
          </w:p>
        </w:tc>
        <w:tc>
          <w:tcPr>
            <w:tcW w:w="1595" w:type="dxa"/>
            <w:gridSpan w:val="2"/>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单位：万元</w:t>
            </w:r>
          </w:p>
        </w:tc>
      </w:tr>
      <w:tr w:rsidR="00593B0F">
        <w:trPr>
          <w:gridAfter w:val="1"/>
          <w:wAfter w:w="131" w:type="dxa"/>
          <w:trHeight w:val="23"/>
          <w:jc w:val="center"/>
        </w:trPr>
        <w:tc>
          <w:tcPr>
            <w:tcW w:w="4845" w:type="dxa"/>
            <w:gridSpan w:val="4"/>
            <w:tcBorders>
              <w:top w:val="single" w:sz="4" w:space="0" w:color="000000"/>
              <w:left w:val="single" w:sz="4" w:space="0" w:color="000000"/>
              <w:bottom w:val="nil"/>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支出项目/政府采购项目</w:t>
            </w: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合计</w:t>
            </w: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一般公共预算</w:t>
            </w: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kern w:val="0"/>
                <w:sz w:val="22"/>
                <w:szCs w:val="22"/>
              </w:rPr>
            </w:pPr>
            <w:r>
              <w:rPr>
                <w:rFonts w:asciiTheme="minorEastAsia" w:eastAsiaTheme="minorEastAsia" w:hAnsiTheme="minorEastAsia" w:cstheme="minorEastAsia" w:hint="eastAsia"/>
                <w:color w:val="000000"/>
                <w:kern w:val="0"/>
                <w:sz w:val="22"/>
                <w:szCs w:val="22"/>
              </w:rPr>
              <w:t>政府性</w:t>
            </w:r>
          </w:p>
          <w:p w:rsidR="00593B0F" w:rsidRDefault="00E31212">
            <w:pPr>
              <w:widowControl/>
              <w:spacing w:line="0" w:lineRule="atLeast"/>
              <w:jc w:val="center"/>
              <w:textAlignment w:val="center"/>
              <w:rPr>
                <w:rFonts w:asciiTheme="minorEastAsia" w:eastAsia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基金预算</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财政专户管理非税收入</w:t>
            </w: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sz w:val="22"/>
                <w:szCs w:val="22"/>
              </w:rPr>
            </w:pPr>
            <w:r>
              <w:rPr>
                <w:rFonts w:asciiTheme="minorEastAsia" w:eastAsiaTheme="minorEastAsia" w:hAnsiTheme="minorEastAsia" w:cstheme="minorEastAsia" w:hint="eastAsia"/>
                <w:color w:val="000000"/>
                <w:kern w:val="0"/>
                <w:sz w:val="22"/>
                <w:szCs w:val="22"/>
              </w:rPr>
              <w:t>其他收入</w:t>
            </w:r>
          </w:p>
        </w:tc>
      </w:tr>
      <w:tr w:rsidR="00593B0F">
        <w:trPr>
          <w:gridAfter w:val="1"/>
          <w:wAfter w:w="131" w:type="dxa"/>
          <w:trHeight w:val="23"/>
          <w:jc w:val="center"/>
        </w:trPr>
        <w:tc>
          <w:tcPr>
            <w:tcW w:w="4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合计</w:t>
            </w: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5,806.00</w:t>
            </w: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4,196.00 </w:t>
            </w: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　</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18"/>
                <w:szCs w:val="18"/>
              </w:rPr>
            </w:pPr>
            <w:r>
              <w:rPr>
                <w:rFonts w:hint="eastAsia"/>
                <w:sz w:val="18"/>
                <w:szCs w:val="18"/>
              </w:rPr>
              <w:t xml:space="preserve">1,610.00 </w:t>
            </w: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5,806.00</w:t>
            </w:r>
          </w:p>
        </w:tc>
      </w:tr>
      <w:tr w:rsidR="00593B0F">
        <w:trPr>
          <w:gridAfter w:val="1"/>
          <w:wAfter w:w="131" w:type="dxa"/>
          <w:trHeight w:val="23"/>
          <w:jc w:val="center"/>
        </w:trPr>
        <w:tc>
          <w:tcPr>
            <w:tcW w:w="4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0"/>
                <w:szCs w:val="20"/>
              </w:rPr>
            </w:pPr>
            <w:r>
              <w:rPr>
                <w:rFonts w:ascii="宋体" w:eastAsia="宋体" w:hAnsi="宋体" w:cs="宋体" w:hint="eastAsia"/>
                <w:sz w:val="20"/>
                <w:szCs w:val="20"/>
              </w:rPr>
              <w:t>本科高校基础保障性项目经费</w:t>
            </w: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4,196.00</w:t>
            </w: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4,196.00 </w:t>
            </w: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　</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18"/>
                <w:szCs w:val="18"/>
              </w:rPr>
            </w:pPr>
            <w:r>
              <w:rPr>
                <w:rFonts w:hint="eastAsia"/>
                <w:sz w:val="18"/>
                <w:szCs w:val="18"/>
              </w:rPr>
              <w:t xml:space="preserve">　</w:t>
            </w: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center"/>
              <w:rPr>
                <w:rFonts w:ascii="宋体" w:eastAsia="宋体" w:hAnsi="宋体" w:cs="宋体"/>
                <w:sz w:val="20"/>
                <w:szCs w:val="20"/>
              </w:rPr>
            </w:pPr>
            <w:r>
              <w:rPr>
                <w:rFonts w:hint="eastAsia"/>
                <w:sz w:val="20"/>
                <w:szCs w:val="20"/>
              </w:rPr>
              <w:t xml:space="preserve">　</w:t>
            </w:r>
          </w:p>
        </w:tc>
      </w:tr>
      <w:tr w:rsidR="00593B0F">
        <w:trPr>
          <w:gridAfter w:val="1"/>
          <w:wAfter w:w="131" w:type="dxa"/>
          <w:trHeight w:val="23"/>
          <w:jc w:val="center"/>
        </w:trPr>
        <w:tc>
          <w:tcPr>
            <w:tcW w:w="4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0"/>
                <w:szCs w:val="20"/>
              </w:rPr>
            </w:pPr>
            <w:r>
              <w:rPr>
                <w:rFonts w:ascii="宋体" w:eastAsia="宋体" w:hAnsi="宋体" w:cs="宋体" w:hint="eastAsia"/>
                <w:sz w:val="20"/>
                <w:szCs w:val="20"/>
              </w:rPr>
              <w:t xml:space="preserve">  2019年安徽大学学生宿舍工程项目</w:t>
            </w: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956.00</w:t>
            </w: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956.00 </w:t>
            </w: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　</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18"/>
                <w:szCs w:val="18"/>
              </w:rPr>
            </w:pPr>
            <w:r>
              <w:rPr>
                <w:rFonts w:hint="eastAsia"/>
                <w:sz w:val="18"/>
                <w:szCs w:val="18"/>
              </w:rPr>
              <w:t xml:space="preserve">　</w:t>
            </w: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center"/>
              <w:rPr>
                <w:rFonts w:ascii="宋体" w:eastAsia="宋体" w:hAnsi="宋体" w:cs="宋体"/>
                <w:sz w:val="20"/>
                <w:szCs w:val="20"/>
              </w:rPr>
            </w:pPr>
            <w:r>
              <w:rPr>
                <w:rFonts w:hint="eastAsia"/>
                <w:sz w:val="20"/>
                <w:szCs w:val="20"/>
              </w:rPr>
              <w:t xml:space="preserve">　</w:t>
            </w:r>
          </w:p>
        </w:tc>
      </w:tr>
      <w:tr w:rsidR="00593B0F">
        <w:trPr>
          <w:gridAfter w:val="1"/>
          <w:wAfter w:w="131" w:type="dxa"/>
          <w:trHeight w:val="23"/>
          <w:jc w:val="center"/>
        </w:trPr>
        <w:tc>
          <w:tcPr>
            <w:tcW w:w="4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0"/>
                <w:szCs w:val="20"/>
              </w:rPr>
            </w:pPr>
            <w:r>
              <w:rPr>
                <w:rFonts w:ascii="宋体" w:eastAsia="宋体" w:hAnsi="宋体" w:cs="宋体" w:hint="eastAsia"/>
                <w:sz w:val="20"/>
                <w:szCs w:val="20"/>
              </w:rPr>
              <w:t xml:space="preserve">  2019年安徽大学仪器设备购置</w:t>
            </w: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1,740.00</w:t>
            </w: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1,740.00 </w:t>
            </w: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　</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18"/>
                <w:szCs w:val="18"/>
              </w:rPr>
            </w:pPr>
            <w:r>
              <w:rPr>
                <w:rFonts w:hint="eastAsia"/>
                <w:sz w:val="18"/>
                <w:szCs w:val="18"/>
              </w:rPr>
              <w:t xml:space="preserve">　</w:t>
            </w: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center"/>
              <w:rPr>
                <w:rFonts w:ascii="宋体" w:eastAsia="宋体" w:hAnsi="宋体" w:cs="宋体"/>
                <w:sz w:val="20"/>
                <w:szCs w:val="20"/>
              </w:rPr>
            </w:pPr>
            <w:r>
              <w:rPr>
                <w:rFonts w:hint="eastAsia"/>
                <w:sz w:val="20"/>
                <w:szCs w:val="20"/>
              </w:rPr>
              <w:t xml:space="preserve">　</w:t>
            </w:r>
          </w:p>
        </w:tc>
      </w:tr>
      <w:tr w:rsidR="00593B0F">
        <w:trPr>
          <w:gridAfter w:val="1"/>
          <w:wAfter w:w="131" w:type="dxa"/>
          <w:trHeight w:val="23"/>
          <w:jc w:val="center"/>
        </w:trPr>
        <w:tc>
          <w:tcPr>
            <w:tcW w:w="4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0"/>
                <w:szCs w:val="20"/>
              </w:rPr>
            </w:pPr>
            <w:r>
              <w:rPr>
                <w:rFonts w:ascii="宋体" w:eastAsia="宋体" w:hAnsi="宋体" w:cs="宋体" w:hint="eastAsia"/>
                <w:sz w:val="20"/>
                <w:szCs w:val="20"/>
              </w:rPr>
              <w:t xml:space="preserve">  2019年安徽大学修建工程项目</w:t>
            </w: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1,500.00</w:t>
            </w: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1,500.00 </w:t>
            </w: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　</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18"/>
                <w:szCs w:val="18"/>
              </w:rPr>
            </w:pPr>
            <w:r>
              <w:rPr>
                <w:rFonts w:hint="eastAsia"/>
                <w:sz w:val="18"/>
                <w:szCs w:val="18"/>
              </w:rPr>
              <w:t xml:space="preserve">　</w:t>
            </w: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center"/>
              <w:rPr>
                <w:rFonts w:ascii="宋体" w:eastAsia="宋体" w:hAnsi="宋体" w:cs="宋体"/>
                <w:sz w:val="20"/>
                <w:szCs w:val="20"/>
              </w:rPr>
            </w:pPr>
            <w:r>
              <w:rPr>
                <w:rFonts w:hint="eastAsia"/>
                <w:sz w:val="20"/>
                <w:szCs w:val="20"/>
              </w:rPr>
              <w:t xml:space="preserve">　</w:t>
            </w:r>
          </w:p>
        </w:tc>
      </w:tr>
      <w:tr w:rsidR="00593B0F">
        <w:trPr>
          <w:gridAfter w:val="1"/>
          <w:wAfter w:w="131" w:type="dxa"/>
          <w:trHeight w:val="23"/>
          <w:jc w:val="center"/>
        </w:trPr>
        <w:tc>
          <w:tcPr>
            <w:tcW w:w="4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0"/>
                <w:szCs w:val="20"/>
              </w:rPr>
            </w:pPr>
            <w:r>
              <w:rPr>
                <w:rFonts w:ascii="宋体" w:eastAsia="宋体" w:hAnsi="宋体" w:cs="宋体" w:hint="eastAsia"/>
                <w:sz w:val="20"/>
                <w:szCs w:val="20"/>
              </w:rPr>
              <w:t>综合定额</w:t>
            </w: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1,610.00</w:t>
            </w: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　</w:t>
            </w: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　</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18"/>
                <w:szCs w:val="18"/>
              </w:rPr>
            </w:pPr>
            <w:r>
              <w:rPr>
                <w:rFonts w:hint="eastAsia"/>
                <w:sz w:val="18"/>
                <w:szCs w:val="18"/>
              </w:rPr>
              <w:t xml:space="preserve">1,610.00 </w:t>
            </w: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center"/>
              <w:rPr>
                <w:rFonts w:ascii="宋体" w:eastAsia="宋体" w:hAnsi="宋体" w:cs="宋体"/>
                <w:sz w:val="20"/>
                <w:szCs w:val="20"/>
              </w:rPr>
            </w:pPr>
            <w:r>
              <w:rPr>
                <w:rFonts w:hint="eastAsia"/>
                <w:sz w:val="20"/>
                <w:szCs w:val="20"/>
              </w:rPr>
              <w:t xml:space="preserve">　</w:t>
            </w:r>
          </w:p>
        </w:tc>
      </w:tr>
      <w:tr w:rsidR="00593B0F">
        <w:trPr>
          <w:gridAfter w:val="1"/>
          <w:wAfter w:w="131" w:type="dxa"/>
          <w:trHeight w:val="23"/>
          <w:jc w:val="center"/>
        </w:trPr>
        <w:tc>
          <w:tcPr>
            <w:tcW w:w="4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0"/>
                <w:szCs w:val="20"/>
              </w:rPr>
            </w:pPr>
            <w:r>
              <w:rPr>
                <w:rFonts w:ascii="宋体" w:eastAsia="宋体" w:hAnsi="宋体" w:cs="宋体" w:hint="eastAsia"/>
                <w:sz w:val="20"/>
                <w:szCs w:val="20"/>
              </w:rPr>
              <w:t xml:space="preserve">  2019年安徽大学行政办公设备购置</w:t>
            </w: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350.00</w:t>
            </w: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　</w:t>
            </w: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　</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18"/>
                <w:szCs w:val="18"/>
              </w:rPr>
            </w:pPr>
            <w:r>
              <w:rPr>
                <w:rFonts w:hint="eastAsia"/>
                <w:sz w:val="18"/>
                <w:szCs w:val="18"/>
              </w:rPr>
              <w:t xml:space="preserve">350.00 </w:t>
            </w: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center"/>
              <w:rPr>
                <w:rFonts w:ascii="宋体" w:eastAsia="宋体" w:hAnsi="宋体" w:cs="宋体"/>
                <w:sz w:val="20"/>
                <w:szCs w:val="20"/>
              </w:rPr>
            </w:pPr>
            <w:r>
              <w:rPr>
                <w:rFonts w:hint="eastAsia"/>
                <w:sz w:val="20"/>
                <w:szCs w:val="20"/>
              </w:rPr>
              <w:t xml:space="preserve">　</w:t>
            </w:r>
          </w:p>
        </w:tc>
      </w:tr>
      <w:tr w:rsidR="00593B0F">
        <w:trPr>
          <w:gridAfter w:val="1"/>
          <w:wAfter w:w="131" w:type="dxa"/>
          <w:trHeight w:val="23"/>
          <w:jc w:val="center"/>
        </w:trPr>
        <w:tc>
          <w:tcPr>
            <w:tcW w:w="4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20"/>
                <w:szCs w:val="20"/>
              </w:rPr>
            </w:pPr>
            <w:r>
              <w:rPr>
                <w:rFonts w:ascii="宋体" w:eastAsia="宋体" w:hAnsi="宋体" w:cs="宋体" w:hint="eastAsia"/>
                <w:sz w:val="20"/>
                <w:szCs w:val="20"/>
              </w:rPr>
              <w:t xml:space="preserve">  2019年安徽大学物业安保外包项目</w:t>
            </w: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1,260.00</w:t>
            </w: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　</w:t>
            </w: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right"/>
              <w:rPr>
                <w:rFonts w:ascii="宋体" w:eastAsia="宋体" w:hAnsi="宋体" w:cs="宋体"/>
                <w:sz w:val="18"/>
                <w:szCs w:val="18"/>
              </w:rPr>
            </w:pPr>
            <w:r>
              <w:rPr>
                <w:rFonts w:hint="eastAsia"/>
                <w:sz w:val="18"/>
                <w:szCs w:val="18"/>
              </w:rPr>
              <w:t xml:space="preserve">　</w:t>
            </w: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rPr>
                <w:rFonts w:ascii="宋体" w:eastAsia="宋体" w:hAnsi="宋体" w:cs="宋体"/>
                <w:sz w:val="18"/>
                <w:szCs w:val="18"/>
              </w:rPr>
            </w:pPr>
            <w:r>
              <w:rPr>
                <w:rFonts w:hint="eastAsia"/>
                <w:sz w:val="18"/>
                <w:szCs w:val="18"/>
              </w:rPr>
              <w:t xml:space="preserve">1,260.00 </w:t>
            </w: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jc w:val="center"/>
              <w:rPr>
                <w:rFonts w:ascii="宋体" w:eastAsia="宋体" w:hAnsi="宋体" w:cs="宋体"/>
                <w:sz w:val="20"/>
                <w:szCs w:val="20"/>
              </w:rPr>
            </w:pPr>
            <w:r>
              <w:rPr>
                <w:rFonts w:hint="eastAsia"/>
                <w:sz w:val="20"/>
                <w:szCs w:val="20"/>
              </w:rPr>
              <w:t xml:space="preserve">　</w:t>
            </w:r>
          </w:p>
        </w:tc>
      </w:tr>
      <w:tr w:rsidR="00593B0F">
        <w:trPr>
          <w:gridAfter w:val="1"/>
          <w:wAfter w:w="131" w:type="dxa"/>
          <w:trHeight w:val="23"/>
          <w:jc w:val="center"/>
        </w:trPr>
        <w:tc>
          <w:tcPr>
            <w:tcW w:w="4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sz w:val="22"/>
                <w:szCs w:val="22"/>
              </w:rPr>
            </w:pP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22"/>
                <w:szCs w:val="22"/>
              </w:rPr>
            </w:pP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22"/>
                <w:szCs w:val="22"/>
              </w:rPr>
            </w:pP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r>
      <w:tr w:rsidR="00593B0F">
        <w:trPr>
          <w:gridAfter w:val="1"/>
          <w:wAfter w:w="131" w:type="dxa"/>
          <w:trHeight w:val="23"/>
          <w:jc w:val="center"/>
        </w:trPr>
        <w:tc>
          <w:tcPr>
            <w:tcW w:w="4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sz w:val="22"/>
                <w:szCs w:val="22"/>
              </w:rPr>
            </w:pP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22"/>
                <w:szCs w:val="22"/>
              </w:rPr>
            </w:pP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22"/>
                <w:szCs w:val="22"/>
              </w:rPr>
            </w:pP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22"/>
                <w:szCs w:val="22"/>
              </w:rPr>
            </w:pPr>
          </w:p>
        </w:tc>
      </w:tr>
      <w:tr w:rsidR="00593B0F">
        <w:trPr>
          <w:gridAfter w:val="1"/>
          <w:wAfter w:w="131" w:type="dxa"/>
          <w:trHeight w:val="23"/>
          <w:jc w:val="center"/>
        </w:trPr>
        <w:tc>
          <w:tcPr>
            <w:tcW w:w="4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sz w:val="22"/>
                <w:szCs w:val="22"/>
              </w:rPr>
            </w:pP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22"/>
                <w:szCs w:val="22"/>
              </w:rPr>
            </w:pP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22"/>
                <w:szCs w:val="22"/>
              </w:rPr>
            </w:pP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r>
      <w:tr w:rsidR="00593B0F">
        <w:trPr>
          <w:gridAfter w:val="1"/>
          <w:wAfter w:w="131" w:type="dxa"/>
          <w:trHeight w:val="23"/>
          <w:jc w:val="center"/>
        </w:trPr>
        <w:tc>
          <w:tcPr>
            <w:tcW w:w="4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sz w:val="22"/>
                <w:szCs w:val="22"/>
              </w:rPr>
            </w:pP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22"/>
                <w:szCs w:val="22"/>
              </w:rPr>
            </w:pP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22"/>
                <w:szCs w:val="22"/>
              </w:rPr>
            </w:pPr>
          </w:p>
        </w:tc>
      </w:tr>
      <w:tr w:rsidR="00593B0F">
        <w:trPr>
          <w:gridAfter w:val="1"/>
          <w:wAfter w:w="131" w:type="dxa"/>
          <w:trHeight w:val="23"/>
          <w:jc w:val="center"/>
        </w:trPr>
        <w:tc>
          <w:tcPr>
            <w:tcW w:w="4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sz w:val="22"/>
                <w:szCs w:val="22"/>
              </w:rPr>
            </w:pP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22"/>
                <w:szCs w:val="22"/>
              </w:rPr>
            </w:pP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r>
      <w:tr w:rsidR="00593B0F">
        <w:trPr>
          <w:gridAfter w:val="1"/>
          <w:wAfter w:w="131" w:type="dxa"/>
          <w:trHeight w:val="23"/>
          <w:jc w:val="center"/>
        </w:trPr>
        <w:tc>
          <w:tcPr>
            <w:tcW w:w="4845"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sz w:val="22"/>
                <w:szCs w:val="22"/>
              </w:rPr>
            </w:pPr>
          </w:p>
        </w:tc>
        <w:tc>
          <w:tcPr>
            <w:tcW w:w="87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3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1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22"/>
                <w:szCs w:val="22"/>
              </w:rPr>
            </w:pPr>
          </w:p>
        </w:tc>
        <w:tc>
          <w:tcPr>
            <w:tcW w:w="7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2"/>
                <w:szCs w:val="22"/>
              </w:rPr>
            </w:pPr>
          </w:p>
        </w:tc>
        <w:tc>
          <w:tcPr>
            <w:tcW w:w="81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22"/>
                <w:szCs w:val="22"/>
              </w:rPr>
            </w:pPr>
          </w:p>
        </w:tc>
      </w:tr>
      <w:tr w:rsidR="00593B0F">
        <w:trPr>
          <w:trHeight w:val="255"/>
          <w:jc w:val="center"/>
        </w:trPr>
        <w:tc>
          <w:tcPr>
            <w:tcW w:w="1893" w:type="dxa"/>
            <w:tcBorders>
              <w:top w:val="nil"/>
              <w:left w:val="nil"/>
              <w:bottom w:val="nil"/>
              <w:right w:val="nil"/>
            </w:tcBorders>
            <w:tcMar>
              <w:top w:w="15" w:type="dxa"/>
              <w:left w:w="15" w:type="dxa"/>
              <w:right w:w="15" w:type="dxa"/>
            </w:tcMar>
            <w:vAlign w:val="bottom"/>
          </w:tcPr>
          <w:p w:rsidR="00593B0F" w:rsidRDefault="00E31212">
            <w:pPr>
              <w:widowControl/>
              <w:spacing w:line="0" w:lineRule="atLeast"/>
              <w:rPr>
                <w:rFonts w:asciiTheme="minorEastAsia" w:eastAsiaTheme="minorEastAsia" w:hAnsiTheme="minorEastAsia" w:cstheme="minorEastAsia"/>
                <w:color w:val="000000"/>
                <w:sz w:val="18"/>
                <w:szCs w:val="18"/>
              </w:rPr>
            </w:pPr>
            <w:r>
              <w:rPr>
                <w:rFonts w:ascii="黑体" w:eastAsia="黑体" w:hAnsi="黑体" w:hint="eastAsia"/>
                <w:bCs/>
                <w:sz w:val="36"/>
                <w:szCs w:val="36"/>
              </w:rPr>
              <w:br w:type="page"/>
            </w:r>
          </w:p>
        </w:tc>
        <w:tc>
          <w:tcPr>
            <w:tcW w:w="1142" w:type="dxa"/>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1056" w:type="dxa"/>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1038" w:type="dxa"/>
            <w:gridSpan w:val="3"/>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1430" w:type="dxa"/>
            <w:gridSpan w:val="3"/>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815" w:type="dxa"/>
            <w:gridSpan w:val="2"/>
            <w:tcBorders>
              <w:top w:val="nil"/>
              <w:left w:val="nil"/>
              <w:bottom w:val="nil"/>
              <w:right w:val="nil"/>
            </w:tcBorders>
            <w:tcMar>
              <w:top w:w="15" w:type="dxa"/>
              <w:left w:w="15" w:type="dxa"/>
              <w:right w:w="15" w:type="dxa"/>
            </w:tcMar>
            <w:vAlign w:val="bottom"/>
          </w:tcPr>
          <w:p w:rsidR="00593B0F" w:rsidRDefault="00593B0F">
            <w:pPr>
              <w:widowControl/>
              <w:spacing w:line="0" w:lineRule="atLeast"/>
              <w:rPr>
                <w:rFonts w:asciiTheme="minorEastAsia" w:eastAsiaTheme="minorEastAsia" w:hAnsiTheme="minorEastAsia" w:cstheme="minorEastAsia"/>
                <w:color w:val="000000"/>
                <w:sz w:val="18"/>
                <w:szCs w:val="18"/>
              </w:rPr>
            </w:pPr>
          </w:p>
        </w:tc>
        <w:tc>
          <w:tcPr>
            <w:tcW w:w="1726" w:type="dxa"/>
            <w:gridSpan w:val="3"/>
            <w:tcBorders>
              <w:top w:val="nil"/>
              <w:left w:val="nil"/>
              <w:bottom w:val="nil"/>
              <w:right w:val="nil"/>
            </w:tcBorders>
            <w:tcMar>
              <w:top w:w="15" w:type="dxa"/>
              <w:left w:w="15" w:type="dxa"/>
              <w:right w:w="15" w:type="dxa"/>
            </w:tcMar>
            <w:vAlign w:val="bottom"/>
          </w:tcPr>
          <w:p w:rsidR="00593B0F" w:rsidRDefault="00593B0F">
            <w:pPr>
              <w:widowControl/>
              <w:spacing w:line="0" w:lineRule="atLeast"/>
              <w:jc w:val="right"/>
              <w:textAlignment w:val="bottom"/>
              <w:rPr>
                <w:rFonts w:asciiTheme="minorEastAsia" w:eastAsiaTheme="minorEastAsia" w:hAnsiTheme="minorEastAsia" w:cstheme="minorEastAsia"/>
                <w:color w:val="000000"/>
                <w:kern w:val="0"/>
                <w:sz w:val="20"/>
                <w:szCs w:val="20"/>
              </w:rPr>
            </w:pPr>
          </w:p>
          <w:p w:rsidR="00593B0F" w:rsidRDefault="00593B0F">
            <w:pPr>
              <w:widowControl/>
              <w:spacing w:line="0" w:lineRule="atLeast"/>
              <w:jc w:val="right"/>
              <w:textAlignment w:val="bottom"/>
              <w:rPr>
                <w:rFonts w:asciiTheme="minorEastAsia" w:eastAsiaTheme="minorEastAsia" w:hAnsiTheme="minorEastAsia" w:cstheme="minorEastAsia"/>
                <w:color w:val="000000"/>
                <w:kern w:val="0"/>
                <w:sz w:val="20"/>
                <w:szCs w:val="20"/>
              </w:rPr>
            </w:pPr>
          </w:p>
          <w:p w:rsidR="00593B0F" w:rsidRDefault="00E31212">
            <w:pPr>
              <w:widowControl/>
              <w:spacing w:line="0" w:lineRule="atLeast"/>
              <w:jc w:val="right"/>
              <w:textAlignment w:val="bottom"/>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部门公开表10</w:t>
            </w:r>
          </w:p>
        </w:tc>
      </w:tr>
      <w:tr w:rsidR="00593B0F">
        <w:trPr>
          <w:trHeight w:val="765"/>
          <w:jc w:val="center"/>
        </w:trPr>
        <w:tc>
          <w:tcPr>
            <w:tcW w:w="9100" w:type="dxa"/>
            <w:gridSpan w:val="14"/>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center"/>
              <w:textAlignment w:val="center"/>
              <w:rPr>
                <w:rFonts w:ascii="华文中宋" w:eastAsia="华文中宋" w:hAnsi="华文中宋" w:cs="华文中宋"/>
                <w:b/>
                <w:color w:val="000000"/>
                <w:sz w:val="36"/>
                <w:szCs w:val="36"/>
              </w:rPr>
            </w:pPr>
            <w:r>
              <w:rPr>
                <w:rFonts w:ascii="华文中宋" w:eastAsia="华文中宋" w:hAnsi="华文中宋" w:cs="华文中宋" w:hint="eastAsia"/>
                <w:b/>
                <w:color w:val="000000"/>
                <w:kern w:val="0"/>
                <w:sz w:val="36"/>
                <w:szCs w:val="36"/>
              </w:rPr>
              <w:t>安徽大学2019年政府购买服务支出表</w:t>
            </w:r>
          </w:p>
        </w:tc>
      </w:tr>
      <w:tr w:rsidR="00593B0F">
        <w:trPr>
          <w:trHeight w:val="255"/>
          <w:jc w:val="center"/>
        </w:trPr>
        <w:tc>
          <w:tcPr>
            <w:tcW w:w="1893"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0"/>
                <w:szCs w:val="20"/>
              </w:rPr>
            </w:pPr>
          </w:p>
        </w:tc>
        <w:tc>
          <w:tcPr>
            <w:tcW w:w="1142"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b/>
                <w:color w:val="000000"/>
                <w:sz w:val="36"/>
                <w:szCs w:val="36"/>
              </w:rPr>
            </w:pPr>
          </w:p>
        </w:tc>
        <w:tc>
          <w:tcPr>
            <w:tcW w:w="1056" w:type="dxa"/>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b/>
                <w:color w:val="000000"/>
                <w:sz w:val="36"/>
                <w:szCs w:val="36"/>
              </w:rPr>
            </w:pPr>
          </w:p>
        </w:tc>
        <w:tc>
          <w:tcPr>
            <w:tcW w:w="1038" w:type="dxa"/>
            <w:gridSpan w:val="3"/>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b/>
                <w:color w:val="000000"/>
                <w:sz w:val="36"/>
                <w:szCs w:val="36"/>
              </w:rPr>
            </w:pPr>
          </w:p>
        </w:tc>
        <w:tc>
          <w:tcPr>
            <w:tcW w:w="1430" w:type="dxa"/>
            <w:gridSpan w:val="3"/>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b/>
                <w:color w:val="000000"/>
                <w:sz w:val="36"/>
                <w:szCs w:val="36"/>
              </w:rPr>
            </w:pPr>
          </w:p>
        </w:tc>
        <w:tc>
          <w:tcPr>
            <w:tcW w:w="816" w:type="dxa"/>
            <w:gridSpan w:val="2"/>
            <w:tcBorders>
              <w:top w:val="nil"/>
              <w:left w:val="nil"/>
              <w:bottom w:val="nil"/>
              <w:right w:val="nil"/>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b/>
                <w:color w:val="000000"/>
                <w:sz w:val="36"/>
                <w:szCs w:val="36"/>
              </w:rPr>
            </w:pPr>
          </w:p>
        </w:tc>
        <w:tc>
          <w:tcPr>
            <w:tcW w:w="1725" w:type="dxa"/>
            <w:gridSpan w:val="3"/>
            <w:tcBorders>
              <w:top w:val="nil"/>
              <w:left w:val="nil"/>
              <w:bottom w:val="nil"/>
              <w:right w:val="nil"/>
            </w:tcBorders>
            <w:tcMar>
              <w:top w:w="15" w:type="dxa"/>
              <w:left w:w="15" w:type="dxa"/>
              <w:right w:w="15" w:type="dxa"/>
            </w:tcMar>
            <w:vAlign w:val="center"/>
          </w:tcPr>
          <w:p w:rsidR="00593B0F" w:rsidRDefault="00E31212">
            <w:pPr>
              <w:widowControl/>
              <w:spacing w:line="0" w:lineRule="atLeast"/>
              <w:jc w:val="right"/>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单位：万元</w:t>
            </w:r>
          </w:p>
        </w:tc>
      </w:tr>
      <w:tr w:rsidR="00593B0F">
        <w:trPr>
          <w:trHeight w:val="420"/>
          <w:jc w:val="center"/>
        </w:trPr>
        <w:tc>
          <w:tcPr>
            <w:tcW w:w="189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sz w:val="20"/>
                <w:szCs w:val="20"/>
              </w:rPr>
            </w:pPr>
            <w:bookmarkStart w:id="0" w:name="_GoBack" w:colFirst="0" w:colLast="7"/>
            <w:r>
              <w:rPr>
                <w:rFonts w:asciiTheme="minorEastAsia" w:eastAsiaTheme="minorEastAsia" w:hAnsiTheme="minorEastAsia" w:cstheme="minorEastAsia" w:hint="eastAsia"/>
                <w:color w:val="000000"/>
                <w:kern w:val="0"/>
                <w:sz w:val="20"/>
                <w:szCs w:val="20"/>
              </w:rPr>
              <w:t>政府购买服务内容</w:t>
            </w:r>
          </w:p>
        </w:tc>
        <w:tc>
          <w:tcPr>
            <w:tcW w:w="1142"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购买方式</w:t>
            </w:r>
          </w:p>
        </w:tc>
        <w:tc>
          <w:tcPr>
            <w:tcW w:w="1056"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购买时间</w:t>
            </w:r>
          </w:p>
        </w:tc>
        <w:tc>
          <w:tcPr>
            <w:tcW w:w="81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合计</w:t>
            </w:r>
          </w:p>
        </w:tc>
        <w:tc>
          <w:tcPr>
            <w:tcW w:w="1149" w:type="dxa"/>
            <w:gridSpan w:val="3"/>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kern w:val="0"/>
                <w:sz w:val="20"/>
                <w:szCs w:val="20"/>
              </w:rPr>
            </w:pPr>
            <w:r>
              <w:rPr>
                <w:rFonts w:asciiTheme="minorEastAsia" w:eastAsiaTheme="minorEastAsia" w:hAnsiTheme="minorEastAsia" w:cstheme="minorEastAsia" w:hint="eastAsia"/>
                <w:color w:val="000000"/>
                <w:kern w:val="0"/>
                <w:sz w:val="20"/>
                <w:szCs w:val="20"/>
              </w:rPr>
              <w:t>一般公共</w:t>
            </w:r>
          </w:p>
          <w:p w:rsidR="00593B0F" w:rsidRDefault="00E31212">
            <w:pPr>
              <w:widowControl/>
              <w:spacing w:line="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预算</w:t>
            </w:r>
          </w:p>
        </w:tc>
        <w:tc>
          <w:tcPr>
            <w:tcW w:w="1029"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政府性基金预算</w:t>
            </w:r>
          </w:p>
        </w:tc>
        <w:tc>
          <w:tcPr>
            <w:tcW w:w="1065"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财政专户管理非税收入</w:t>
            </w:r>
          </w:p>
        </w:tc>
        <w:tc>
          <w:tcPr>
            <w:tcW w:w="947"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E31212">
            <w:pPr>
              <w:widowControl/>
              <w:spacing w:line="0" w:lineRule="atLeast"/>
              <w:jc w:val="center"/>
              <w:textAlignment w:val="center"/>
              <w:rPr>
                <w:rFonts w:asciiTheme="minorEastAsia" w:eastAsiaTheme="minorEastAsia" w:hAnsiTheme="minorEastAsia" w:cstheme="minorEastAsia"/>
                <w:color w:val="000000"/>
                <w:sz w:val="20"/>
                <w:szCs w:val="20"/>
              </w:rPr>
            </w:pPr>
            <w:r>
              <w:rPr>
                <w:rFonts w:asciiTheme="minorEastAsia" w:eastAsiaTheme="minorEastAsia" w:hAnsiTheme="minorEastAsia" w:cstheme="minorEastAsia" w:hint="eastAsia"/>
                <w:color w:val="000000"/>
                <w:kern w:val="0"/>
                <w:sz w:val="20"/>
                <w:szCs w:val="20"/>
              </w:rPr>
              <w:t>其他收入</w:t>
            </w:r>
          </w:p>
        </w:tc>
      </w:tr>
      <w:tr w:rsidR="00593B0F">
        <w:trPr>
          <w:trHeight w:val="495"/>
          <w:jc w:val="center"/>
        </w:trPr>
        <w:tc>
          <w:tcPr>
            <w:tcW w:w="189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0"/>
                <w:szCs w:val="20"/>
              </w:rPr>
            </w:pPr>
          </w:p>
        </w:tc>
        <w:tc>
          <w:tcPr>
            <w:tcW w:w="1142"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0"/>
                <w:szCs w:val="20"/>
              </w:rPr>
            </w:pPr>
          </w:p>
        </w:tc>
        <w:tc>
          <w:tcPr>
            <w:tcW w:w="1056"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0"/>
                <w:szCs w:val="20"/>
              </w:rPr>
            </w:pPr>
          </w:p>
        </w:tc>
        <w:tc>
          <w:tcPr>
            <w:tcW w:w="81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0"/>
                <w:szCs w:val="20"/>
              </w:rPr>
            </w:pPr>
          </w:p>
        </w:tc>
        <w:tc>
          <w:tcPr>
            <w:tcW w:w="1149" w:type="dxa"/>
            <w:gridSpan w:val="3"/>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0"/>
                <w:szCs w:val="20"/>
              </w:rPr>
            </w:pPr>
          </w:p>
        </w:tc>
        <w:tc>
          <w:tcPr>
            <w:tcW w:w="1029"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0"/>
                <w:szCs w:val="20"/>
              </w:rPr>
            </w:pPr>
          </w:p>
        </w:tc>
        <w:tc>
          <w:tcPr>
            <w:tcW w:w="1065"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0"/>
                <w:szCs w:val="20"/>
              </w:rPr>
            </w:pPr>
          </w:p>
        </w:tc>
        <w:tc>
          <w:tcPr>
            <w:tcW w:w="947"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center"/>
              <w:rPr>
                <w:rFonts w:asciiTheme="minorEastAsia" w:eastAsiaTheme="minorEastAsia" w:hAnsiTheme="minorEastAsia" w:cstheme="minorEastAsia"/>
                <w:color w:val="000000"/>
                <w:sz w:val="20"/>
                <w:szCs w:val="20"/>
              </w:rPr>
            </w:pPr>
          </w:p>
        </w:tc>
      </w:tr>
      <w:tr w:rsidR="00593B0F">
        <w:trPr>
          <w:trHeight w:val="503"/>
          <w:jc w:val="center"/>
        </w:trPr>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sz w:val="20"/>
                <w:szCs w:val="20"/>
              </w:rPr>
            </w:pPr>
          </w:p>
        </w:tc>
        <w:tc>
          <w:tcPr>
            <w:tcW w:w="1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sz w:val="20"/>
                <w:szCs w:val="20"/>
              </w:rPr>
            </w:pPr>
          </w:p>
        </w:tc>
        <w:tc>
          <w:tcPr>
            <w:tcW w:w="8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0"/>
                <w:szCs w:val="20"/>
              </w:rPr>
            </w:pPr>
          </w:p>
        </w:tc>
        <w:tc>
          <w:tcPr>
            <w:tcW w:w="114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0"/>
                <w:szCs w:val="20"/>
              </w:rPr>
            </w:pPr>
          </w:p>
        </w:tc>
        <w:tc>
          <w:tcPr>
            <w:tcW w:w="10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20"/>
                <w:szCs w:val="20"/>
              </w:rPr>
            </w:pPr>
          </w:p>
        </w:tc>
        <w:tc>
          <w:tcPr>
            <w:tcW w:w="10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0"/>
                <w:szCs w:val="20"/>
              </w:rPr>
            </w:pPr>
          </w:p>
        </w:tc>
        <w:tc>
          <w:tcPr>
            <w:tcW w:w="9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0"/>
                <w:szCs w:val="20"/>
              </w:rPr>
            </w:pPr>
          </w:p>
        </w:tc>
      </w:tr>
      <w:tr w:rsidR="00593B0F">
        <w:trPr>
          <w:trHeight w:val="503"/>
          <w:jc w:val="center"/>
        </w:trPr>
        <w:tc>
          <w:tcPr>
            <w:tcW w:w="189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sz w:val="20"/>
                <w:szCs w:val="20"/>
              </w:rPr>
            </w:pPr>
          </w:p>
        </w:tc>
        <w:tc>
          <w:tcPr>
            <w:tcW w:w="1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sz w:val="20"/>
                <w:szCs w:val="20"/>
              </w:rPr>
            </w:pPr>
          </w:p>
        </w:tc>
        <w:tc>
          <w:tcPr>
            <w:tcW w:w="10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left"/>
              <w:textAlignment w:val="center"/>
              <w:rPr>
                <w:rFonts w:asciiTheme="minorEastAsia" w:eastAsiaTheme="minorEastAsia" w:hAnsiTheme="minorEastAsia" w:cstheme="minorEastAsia"/>
                <w:color w:val="000000"/>
                <w:sz w:val="20"/>
                <w:szCs w:val="20"/>
              </w:rPr>
            </w:pPr>
          </w:p>
        </w:tc>
        <w:tc>
          <w:tcPr>
            <w:tcW w:w="81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0"/>
                <w:szCs w:val="20"/>
              </w:rPr>
            </w:pPr>
          </w:p>
        </w:tc>
        <w:tc>
          <w:tcPr>
            <w:tcW w:w="1149"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textAlignment w:val="center"/>
              <w:rPr>
                <w:rFonts w:asciiTheme="minorEastAsia" w:eastAsiaTheme="minorEastAsia" w:hAnsiTheme="minorEastAsia" w:cstheme="minorEastAsia"/>
                <w:color w:val="000000"/>
                <w:sz w:val="20"/>
                <w:szCs w:val="20"/>
              </w:rPr>
            </w:pPr>
          </w:p>
        </w:tc>
        <w:tc>
          <w:tcPr>
            <w:tcW w:w="102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jc w:val="right"/>
              <w:rPr>
                <w:rFonts w:asciiTheme="minorEastAsia" w:eastAsiaTheme="minorEastAsia" w:hAnsiTheme="minorEastAsia" w:cstheme="minorEastAsia"/>
                <w:color w:val="000000"/>
                <w:sz w:val="20"/>
                <w:szCs w:val="20"/>
              </w:rPr>
            </w:pPr>
          </w:p>
        </w:tc>
        <w:tc>
          <w:tcPr>
            <w:tcW w:w="106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0"/>
                <w:szCs w:val="20"/>
              </w:rPr>
            </w:pPr>
          </w:p>
        </w:tc>
        <w:tc>
          <w:tcPr>
            <w:tcW w:w="947"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93B0F" w:rsidRDefault="00593B0F">
            <w:pPr>
              <w:widowControl/>
              <w:spacing w:line="0" w:lineRule="atLeast"/>
              <w:rPr>
                <w:rFonts w:asciiTheme="minorEastAsia" w:eastAsiaTheme="minorEastAsia" w:hAnsiTheme="minorEastAsia" w:cstheme="minorEastAsia"/>
                <w:color w:val="000000"/>
                <w:sz w:val="20"/>
                <w:szCs w:val="20"/>
              </w:rPr>
            </w:pPr>
          </w:p>
        </w:tc>
      </w:tr>
      <w:bookmarkEnd w:id="0"/>
    </w:tbl>
    <w:p w:rsidR="00593B0F" w:rsidRDefault="00593B0F">
      <w:pPr>
        <w:pStyle w:val="a5"/>
        <w:adjustRightInd w:val="0"/>
        <w:snapToGrid w:val="0"/>
        <w:spacing w:before="0" w:beforeAutospacing="0" w:after="0" w:afterAutospacing="0" w:line="360" w:lineRule="auto"/>
        <w:jc w:val="center"/>
        <w:rPr>
          <w:rFonts w:ascii="黑体" w:eastAsia="黑体" w:hAnsi="黑体"/>
          <w:bCs/>
          <w:sz w:val="36"/>
          <w:szCs w:val="36"/>
        </w:rPr>
      </w:pPr>
    </w:p>
    <w:p w:rsidR="00593B0F" w:rsidRDefault="00E31212">
      <w:pPr>
        <w:jc w:val="center"/>
        <w:rPr>
          <w:rFonts w:ascii="黑体" w:eastAsia="黑体" w:hAnsi="黑体"/>
          <w:bCs/>
          <w:sz w:val="36"/>
          <w:szCs w:val="36"/>
        </w:rPr>
      </w:pPr>
      <w:r>
        <w:rPr>
          <w:rFonts w:ascii="黑体" w:eastAsia="黑体" w:hAnsi="黑体" w:hint="eastAsia"/>
          <w:bCs/>
          <w:sz w:val="36"/>
          <w:szCs w:val="36"/>
        </w:rPr>
        <w:br w:type="page"/>
      </w:r>
      <w:r>
        <w:rPr>
          <w:rFonts w:ascii="黑体" w:eastAsia="黑体" w:hAnsi="黑体" w:hint="eastAsia"/>
          <w:bCs/>
          <w:sz w:val="36"/>
          <w:szCs w:val="36"/>
        </w:rPr>
        <w:lastRenderedPageBreak/>
        <w:t>第三部分 2019年部门预算情况说明</w:t>
      </w:r>
    </w:p>
    <w:p w:rsidR="00593B0F" w:rsidRDefault="00593B0F">
      <w:pPr>
        <w:pStyle w:val="a5"/>
        <w:spacing w:before="0" w:beforeAutospacing="0" w:after="0" w:afterAutospacing="0"/>
        <w:rPr>
          <w:rFonts w:ascii="黑体" w:eastAsia="黑体" w:hAnsi="黑体"/>
          <w:bCs/>
          <w:sz w:val="32"/>
        </w:rPr>
      </w:pPr>
    </w:p>
    <w:p w:rsidR="00593B0F" w:rsidRDefault="00E31212">
      <w:pPr>
        <w:pStyle w:val="a5"/>
        <w:spacing w:before="0" w:beforeAutospacing="0" w:after="0" w:afterAutospacing="0"/>
        <w:ind w:firstLineChars="200" w:firstLine="640"/>
        <w:rPr>
          <w:rFonts w:ascii="黑体" w:eastAsia="黑体" w:hAnsi="黑体"/>
          <w:bCs/>
          <w:sz w:val="32"/>
        </w:rPr>
      </w:pPr>
      <w:r>
        <w:rPr>
          <w:rFonts w:ascii="黑体" w:eastAsia="黑体" w:hAnsi="黑体" w:hint="eastAsia"/>
          <w:bCs/>
          <w:sz w:val="32"/>
        </w:rPr>
        <w:t>一、关于2019年财政拨款收支预算总体情况说明</w:t>
      </w:r>
    </w:p>
    <w:p w:rsidR="00593B0F" w:rsidRDefault="00E31212">
      <w:pPr>
        <w:pStyle w:val="a5"/>
        <w:spacing w:before="0" w:beforeAutospacing="0" w:after="0" w:afterAutospacing="0"/>
        <w:ind w:firstLineChars="200" w:firstLine="640"/>
        <w:rPr>
          <w:rFonts w:ascii="仿宋_GB2312" w:eastAsia="仿宋_GB2312" w:hAnsi="仿宋" w:cs="Times New Roman"/>
          <w:kern w:val="2"/>
          <w:sz w:val="32"/>
        </w:rPr>
      </w:pPr>
      <w:r>
        <w:rPr>
          <w:rFonts w:ascii="仿宋_GB2312" w:eastAsia="仿宋_GB2312" w:hAnsi="仿宋" w:cs="Times New Roman" w:hint="eastAsia"/>
          <w:kern w:val="2"/>
          <w:sz w:val="32"/>
        </w:rPr>
        <w:t>安徽大学2019年财政拨款收支预算32553.5万元。收入按资金来源分全部为一般公共预算拨款32553.5万元；按资金年度分全部为当年财政拨款收入32553.5万元。支出按功能分类分为：教育支出3</w:t>
      </w:r>
      <w:r w:rsidR="00630074">
        <w:rPr>
          <w:rFonts w:ascii="仿宋_GB2312" w:eastAsia="仿宋_GB2312" w:hAnsi="仿宋" w:cs="Times New Roman" w:hint="eastAsia"/>
          <w:kern w:val="2"/>
          <w:sz w:val="32"/>
        </w:rPr>
        <w:t>1</w:t>
      </w:r>
      <w:r>
        <w:rPr>
          <w:rFonts w:ascii="仿宋_GB2312" w:eastAsia="仿宋_GB2312" w:hAnsi="仿宋" w:cs="Times New Roman" w:hint="eastAsia"/>
          <w:kern w:val="2"/>
          <w:sz w:val="32"/>
        </w:rPr>
        <w:t>230.5万元，占95.9%；社会保障和就业支出958.7万元，占3.0%；卫生健康支出227.5万元，占0.7%；住房保障支出136.8万元，占0.4%。</w:t>
      </w:r>
    </w:p>
    <w:p w:rsidR="00593B0F" w:rsidRDefault="00E31212">
      <w:pPr>
        <w:pStyle w:val="a5"/>
        <w:spacing w:before="0" w:beforeAutospacing="0" w:after="0" w:afterAutospacing="0"/>
        <w:ind w:firstLineChars="200" w:firstLine="640"/>
        <w:rPr>
          <w:rFonts w:ascii="黑体" w:eastAsia="黑体" w:hAnsi="仿宋" w:cs="Times New Roman"/>
          <w:kern w:val="2"/>
          <w:sz w:val="32"/>
        </w:rPr>
      </w:pPr>
      <w:r>
        <w:rPr>
          <w:rFonts w:ascii="黑体" w:eastAsia="黑体" w:hAnsi="仿宋" w:cs="Times New Roman" w:hint="eastAsia"/>
          <w:kern w:val="2"/>
          <w:sz w:val="32"/>
        </w:rPr>
        <w:t>二、关于2019年一般公共预算拨款情况说明</w:t>
      </w:r>
    </w:p>
    <w:p w:rsidR="00593B0F" w:rsidRDefault="00E31212" w:rsidP="00F46DE3">
      <w:pPr>
        <w:pStyle w:val="a5"/>
        <w:spacing w:before="0" w:beforeAutospacing="0" w:after="0" w:afterAutospacing="0"/>
        <w:ind w:firstLineChars="200" w:firstLine="640"/>
        <w:rPr>
          <w:rFonts w:ascii="楷体_GB2312" w:eastAsia="楷体_GB2312" w:hAnsi="仿宋" w:cs="Times New Roman"/>
          <w:b/>
          <w:kern w:val="2"/>
          <w:sz w:val="32"/>
        </w:rPr>
      </w:pPr>
      <w:r>
        <w:rPr>
          <w:rFonts w:ascii="楷体_GB2312" w:eastAsia="楷体_GB2312" w:hAnsi="仿宋" w:cs="Times New Roman" w:hint="eastAsia"/>
          <w:b/>
          <w:kern w:val="2"/>
          <w:sz w:val="32"/>
        </w:rPr>
        <w:t>（一）一般公共预算拨款规模变化情况。</w:t>
      </w:r>
    </w:p>
    <w:p w:rsidR="00593B0F" w:rsidRDefault="00E31212">
      <w:pPr>
        <w:pStyle w:val="a5"/>
        <w:spacing w:before="0" w:beforeAutospacing="0" w:after="0" w:afterAutospacing="0"/>
        <w:ind w:firstLineChars="200" w:firstLine="640"/>
        <w:rPr>
          <w:rFonts w:ascii="仿宋_GB2312" w:eastAsia="仿宋_GB2312" w:hAnsi="仿宋" w:cs="Times New Roman"/>
          <w:kern w:val="2"/>
          <w:sz w:val="32"/>
        </w:rPr>
      </w:pPr>
      <w:r>
        <w:rPr>
          <w:rFonts w:ascii="仿宋_GB2312" w:eastAsia="仿宋_GB2312" w:hAnsi="仿宋" w:cs="Times New Roman" w:hint="eastAsia"/>
          <w:kern w:val="2"/>
          <w:sz w:val="32"/>
        </w:rPr>
        <w:t>安徽大学2019年一般公共预算拨款32553.5万元，比2018年预算拨款减少7935.2万元，下降19.6%，主要原因：退休人员养老金转由社保基金发放，不再安排退休人员退休费拨款。</w:t>
      </w:r>
    </w:p>
    <w:p w:rsidR="00593B0F" w:rsidRDefault="00E31212" w:rsidP="00F46DE3">
      <w:pPr>
        <w:pStyle w:val="a5"/>
        <w:spacing w:before="0" w:beforeAutospacing="0" w:after="0" w:afterAutospacing="0"/>
        <w:ind w:firstLineChars="200" w:firstLine="640"/>
        <w:rPr>
          <w:rFonts w:ascii="楷体_GB2312" w:eastAsia="楷体_GB2312" w:hAnsi="仿宋" w:cs="Times New Roman"/>
          <w:b/>
          <w:kern w:val="2"/>
          <w:sz w:val="32"/>
        </w:rPr>
      </w:pPr>
      <w:r>
        <w:rPr>
          <w:rFonts w:ascii="楷体_GB2312" w:eastAsia="楷体_GB2312" w:hAnsi="仿宋" w:cs="Times New Roman" w:hint="eastAsia"/>
          <w:b/>
          <w:kern w:val="2"/>
          <w:sz w:val="32"/>
        </w:rPr>
        <w:t>（二</w:t>
      </w:r>
      <w:r>
        <w:rPr>
          <w:rFonts w:ascii="楷体_GB2312" w:eastAsia="楷体_GB2312" w:hAnsi="仿宋" w:cs="Times New Roman"/>
          <w:b/>
          <w:kern w:val="2"/>
          <w:sz w:val="32"/>
        </w:rPr>
        <w:t>）</w:t>
      </w:r>
      <w:r>
        <w:rPr>
          <w:rFonts w:ascii="楷体_GB2312" w:eastAsia="楷体_GB2312" w:hAnsi="仿宋" w:cs="Times New Roman" w:hint="eastAsia"/>
          <w:b/>
          <w:kern w:val="2"/>
          <w:sz w:val="32"/>
        </w:rPr>
        <w:t>一般公共预算拨款结构情况。</w:t>
      </w:r>
    </w:p>
    <w:p w:rsidR="00593B0F" w:rsidRDefault="00E31212">
      <w:pPr>
        <w:ind w:firstLineChars="200" w:firstLine="640"/>
        <w:rPr>
          <w:rFonts w:ascii="仿宋_GB2312" w:eastAsia="仿宋_GB2312" w:hAnsi="仿宋"/>
        </w:rPr>
      </w:pPr>
      <w:r>
        <w:rPr>
          <w:rFonts w:ascii="仿宋_GB2312" w:eastAsia="仿宋_GB2312" w:hAnsi="仿宋" w:hint="eastAsia"/>
        </w:rPr>
        <w:t>教育支出3</w:t>
      </w:r>
      <w:r w:rsidR="00630074">
        <w:rPr>
          <w:rFonts w:ascii="仿宋_GB2312" w:eastAsia="仿宋_GB2312" w:hAnsi="仿宋" w:hint="eastAsia"/>
        </w:rPr>
        <w:t>1</w:t>
      </w:r>
      <w:r>
        <w:rPr>
          <w:rFonts w:ascii="仿宋_GB2312" w:eastAsia="仿宋_GB2312" w:hAnsi="仿宋" w:hint="eastAsia"/>
        </w:rPr>
        <w:t>230.5万元，占95.9%；社会保障和就业支出958.7万元，占3.0%；卫生健康支出227.5万元，占0.7%；住房保障支出136.8万元，占0.4%。</w:t>
      </w:r>
    </w:p>
    <w:p w:rsidR="00593B0F" w:rsidRDefault="00E31212" w:rsidP="00F46DE3">
      <w:pPr>
        <w:ind w:firstLineChars="200" w:firstLine="640"/>
        <w:rPr>
          <w:rFonts w:ascii="楷体_GB2312" w:eastAsia="楷体_GB2312" w:hAnsi="仿宋"/>
          <w:b/>
        </w:rPr>
      </w:pPr>
      <w:r>
        <w:rPr>
          <w:rFonts w:ascii="楷体_GB2312" w:eastAsia="楷体_GB2312" w:hAnsi="仿宋" w:hint="eastAsia"/>
          <w:b/>
        </w:rPr>
        <w:t>（三）一般公共预算拨款具体使用情况。</w:t>
      </w:r>
    </w:p>
    <w:p w:rsidR="00593B0F" w:rsidRDefault="00E31212" w:rsidP="00F46DE3">
      <w:pPr>
        <w:ind w:firstLineChars="200" w:firstLine="640"/>
        <w:rPr>
          <w:rFonts w:ascii="仿宋_GB2312" w:eastAsia="仿宋_GB2312" w:hAnsi="仿宋"/>
        </w:rPr>
      </w:pPr>
      <w:r>
        <w:rPr>
          <w:rFonts w:ascii="仿宋_GB2312" w:eastAsia="仿宋_GB2312" w:hAnsi="仿宋" w:hint="eastAsia"/>
          <w:b/>
        </w:rPr>
        <w:t>1.教育支出（类）普通教育（款）高等教育（项）</w:t>
      </w:r>
      <w:r>
        <w:rPr>
          <w:rFonts w:ascii="仿宋_GB2312" w:eastAsia="仿宋_GB2312" w:hAnsi="仿宋" w:hint="eastAsia"/>
        </w:rPr>
        <w:t>2019年预算31230.5万元，比2018年预算减少723.2万元，下降2.3%，</w:t>
      </w:r>
      <w:r>
        <w:rPr>
          <w:rFonts w:ascii="仿宋_GB2312" w:eastAsia="仿宋_GB2312" w:hAnsi="仿宋" w:hint="eastAsia"/>
        </w:rPr>
        <w:lastRenderedPageBreak/>
        <w:t>下降的原因是</w:t>
      </w:r>
      <w:r>
        <w:rPr>
          <w:rFonts w:ascii="仿宋_GB2312" w:eastAsia="仿宋_GB2312" w:hAnsi="宋体" w:hint="eastAsia"/>
          <w:sz w:val="30"/>
          <w:szCs w:val="30"/>
        </w:rPr>
        <w:t>减少安排省级一流学科专业支出</w:t>
      </w:r>
      <w:r>
        <w:rPr>
          <w:rFonts w:ascii="仿宋_GB2312" w:eastAsia="仿宋_GB2312" w:hAnsi="仿宋" w:hint="eastAsia"/>
        </w:rPr>
        <w:t>。</w:t>
      </w:r>
    </w:p>
    <w:p w:rsidR="00593B0F" w:rsidRDefault="00E31212" w:rsidP="00F46DE3">
      <w:pPr>
        <w:ind w:firstLineChars="200" w:firstLine="640"/>
        <w:rPr>
          <w:rFonts w:ascii="仿宋_GB2312" w:eastAsia="仿宋_GB2312" w:hAnsi="仿宋"/>
        </w:rPr>
      </w:pPr>
      <w:r>
        <w:rPr>
          <w:rFonts w:ascii="仿宋_GB2312" w:eastAsia="仿宋_GB2312" w:hAnsi="仿宋" w:hint="eastAsia"/>
          <w:b/>
        </w:rPr>
        <w:t>2.社会保障和就业支出（类）行政事业单位离退休（款）事业单位离退休（项）</w:t>
      </w:r>
      <w:r>
        <w:rPr>
          <w:rFonts w:ascii="仿宋_GB2312" w:eastAsia="仿宋_GB2312" w:hAnsi="仿宋" w:hint="eastAsia"/>
        </w:rPr>
        <w:t>2019年预算958.7万元，比2018年预算减少7212.4万元，下降88.3%，下降原因主要是退休人员养老金转由社保基金发放，不再安排退休人员退休费。</w:t>
      </w:r>
    </w:p>
    <w:p w:rsidR="00593B0F" w:rsidRDefault="00E31212" w:rsidP="00F46DE3">
      <w:pPr>
        <w:ind w:firstLineChars="200" w:firstLine="640"/>
        <w:rPr>
          <w:rFonts w:ascii="仿宋_GB2312" w:eastAsia="仿宋_GB2312" w:hAnsi="仿宋"/>
        </w:rPr>
      </w:pPr>
      <w:r>
        <w:rPr>
          <w:rFonts w:ascii="仿宋_GB2312" w:eastAsia="仿宋_GB2312" w:hAnsi="仿宋" w:hint="eastAsia"/>
          <w:b/>
        </w:rPr>
        <w:t>3.卫生健康支出（类）行政事业单位医疗（款）事业单位医疗（项）</w:t>
      </w:r>
      <w:r>
        <w:rPr>
          <w:rFonts w:ascii="仿宋_GB2312" w:eastAsia="仿宋_GB2312" w:hAnsi="仿宋" w:hint="eastAsia"/>
        </w:rPr>
        <w:t>2019年预算227.5万元，比2018年预算减少18.7万元，下降7.6%，下降的原因主要是</w:t>
      </w:r>
      <w:r>
        <w:rPr>
          <w:rFonts w:ascii="仿宋_GB2312" w:eastAsia="仿宋_GB2312" w:hAnsi="宋体" w:hint="eastAsia"/>
          <w:sz w:val="30"/>
          <w:szCs w:val="30"/>
        </w:rPr>
        <w:t>离休人员减少，离休人员医疗支出减少</w:t>
      </w:r>
      <w:r>
        <w:rPr>
          <w:rFonts w:ascii="仿宋_GB2312" w:eastAsia="仿宋_GB2312" w:hAnsi="仿宋" w:hint="eastAsia"/>
        </w:rPr>
        <w:t>。</w:t>
      </w:r>
    </w:p>
    <w:p w:rsidR="00593B0F" w:rsidRDefault="00E31212" w:rsidP="00F46DE3">
      <w:pPr>
        <w:ind w:firstLineChars="200" w:firstLine="640"/>
        <w:rPr>
          <w:rFonts w:ascii="仿宋_GB2312" w:eastAsia="仿宋_GB2312" w:hAnsi="仿宋"/>
        </w:rPr>
      </w:pPr>
      <w:r>
        <w:rPr>
          <w:rFonts w:ascii="仿宋_GB2312" w:eastAsia="仿宋_GB2312" w:hAnsi="仿宋" w:hint="eastAsia"/>
          <w:b/>
        </w:rPr>
        <w:t>4.住房保障支出（类）住房改革支出（款）提租补贴（项）</w:t>
      </w:r>
      <w:r>
        <w:rPr>
          <w:rFonts w:ascii="仿宋_GB2312" w:eastAsia="仿宋_GB2312" w:hAnsi="仿宋" w:hint="eastAsia"/>
        </w:rPr>
        <w:t>2019年预算136.8万元，比2018年预算增加19.1万元，增长16.2%，增长原因主要是</w:t>
      </w:r>
      <w:r>
        <w:rPr>
          <w:rFonts w:ascii="仿宋_GB2312" w:eastAsia="仿宋_GB2312" w:hAnsi="宋体" w:hint="eastAsia"/>
          <w:sz w:val="30"/>
          <w:szCs w:val="30"/>
        </w:rPr>
        <w:t>离退休人员增加，提租补贴增加</w:t>
      </w:r>
      <w:r>
        <w:rPr>
          <w:rFonts w:ascii="仿宋_GB2312" w:eastAsia="仿宋_GB2312" w:hAnsi="仿宋" w:hint="eastAsia"/>
        </w:rPr>
        <w:t>。</w:t>
      </w:r>
    </w:p>
    <w:p w:rsidR="00593B0F" w:rsidRDefault="00E31212">
      <w:pPr>
        <w:pStyle w:val="a5"/>
        <w:spacing w:before="0" w:beforeAutospacing="0" w:after="0" w:afterAutospacing="0"/>
        <w:ind w:firstLineChars="200" w:firstLine="640"/>
        <w:rPr>
          <w:rFonts w:ascii="黑体" w:eastAsia="黑体"/>
        </w:rPr>
      </w:pPr>
      <w:r>
        <w:rPr>
          <w:rFonts w:ascii="黑体" w:eastAsia="黑体" w:hAnsi="仿宋" w:cs="Times New Roman" w:hint="eastAsia"/>
          <w:kern w:val="2"/>
          <w:sz w:val="32"/>
        </w:rPr>
        <w:t>三、关于2019年一般公共预算基本支出情况说明</w:t>
      </w:r>
    </w:p>
    <w:p w:rsidR="00593B0F" w:rsidRDefault="00E31212">
      <w:pPr>
        <w:pStyle w:val="a5"/>
        <w:spacing w:before="0" w:beforeAutospacing="0" w:after="0" w:afterAutospacing="0"/>
        <w:ind w:firstLineChars="200" w:firstLine="640"/>
        <w:rPr>
          <w:rFonts w:ascii="仿宋_GB2312" w:eastAsia="仿宋_GB2312" w:hAnsi="仿宋"/>
          <w:sz w:val="32"/>
        </w:rPr>
      </w:pPr>
      <w:r>
        <w:rPr>
          <w:rFonts w:ascii="仿宋_GB2312" w:eastAsia="仿宋_GB2312" w:hAnsi="仿宋" w:cs="Times New Roman" w:hint="eastAsia"/>
          <w:kern w:val="2"/>
          <w:sz w:val="32"/>
        </w:rPr>
        <w:t>安徽大学</w:t>
      </w:r>
      <w:r>
        <w:rPr>
          <w:rFonts w:ascii="仿宋_GB2312" w:eastAsia="仿宋_GB2312" w:hAnsi="仿宋" w:hint="eastAsia"/>
          <w:sz w:val="32"/>
        </w:rPr>
        <w:t>2019年一般公共预算基本支出</w:t>
      </w:r>
      <w:r>
        <w:rPr>
          <w:rFonts w:ascii="仿宋_GB2312" w:eastAsia="仿宋_GB2312" w:hAnsi="仿宋" w:cs="Times New Roman" w:hint="eastAsia"/>
          <w:kern w:val="2"/>
          <w:sz w:val="32"/>
        </w:rPr>
        <w:t>26440.4</w:t>
      </w:r>
      <w:r>
        <w:rPr>
          <w:rFonts w:ascii="仿宋_GB2312" w:eastAsia="仿宋_GB2312" w:hAnsi="仿宋" w:hint="eastAsia"/>
          <w:sz w:val="32"/>
        </w:rPr>
        <w:t>万元，其中：</w:t>
      </w:r>
    </w:p>
    <w:p w:rsidR="00593B0F" w:rsidRDefault="00E31212">
      <w:pPr>
        <w:pStyle w:val="a5"/>
        <w:spacing w:before="0" w:beforeAutospacing="0" w:after="0" w:afterAutospacing="0"/>
        <w:ind w:firstLineChars="200" w:firstLine="640"/>
        <w:rPr>
          <w:rFonts w:ascii="仿宋_GB2312" w:eastAsia="仿宋_GB2312" w:hAnsi="仿宋"/>
          <w:sz w:val="32"/>
        </w:rPr>
      </w:pPr>
      <w:r>
        <w:rPr>
          <w:rFonts w:ascii="仿宋_GB2312" w:eastAsia="仿宋_GB2312" w:hAnsi="仿宋" w:hint="eastAsia"/>
          <w:sz w:val="32"/>
        </w:rPr>
        <w:t>工资福利支出</w:t>
      </w:r>
      <w:r>
        <w:rPr>
          <w:rFonts w:ascii="仿宋_GB2312" w:eastAsia="仿宋_GB2312" w:hAnsi="仿宋" w:cs="Times New Roman" w:hint="eastAsia"/>
          <w:kern w:val="2"/>
          <w:sz w:val="32"/>
        </w:rPr>
        <w:t>18217.8</w:t>
      </w:r>
      <w:r>
        <w:rPr>
          <w:rFonts w:ascii="仿宋_GB2312" w:eastAsia="仿宋_GB2312" w:hAnsi="仿宋" w:hint="eastAsia"/>
          <w:sz w:val="32"/>
        </w:rPr>
        <w:t>万元，主要包括：基本工资、津贴补贴、绩效工资、城镇职工基本医疗保险缴费、其他社会保障缴费、住房公积金、医疗费等。商品和服务支出</w:t>
      </w:r>
      <w:r>
        <w:rPr>
          <w:rFonts w:ascii="仿宋_GB2312" w:eastAsia="仿宋_GB2312" w:hAnsi="仿宋" w:cs="Times New Roman" w:hint="eastAsia"/>
          <w:kern w:val="2"/>
          <w:sz w:val="32"/>
        </w:rPr>
        <w:t>5559.7</w:t>
      </w:r>
      <w:r>
        <w:rPr>
          <w:rFonts w:ascii="仿宋_GB2312" w:eastAsia="仿宋_GB2312" w:hAnsi="仿宋" w:hint="eastAsia"/>
          <w:sz w:val="32"/>
        </w:rPr>
        <w:t>万元，主要包括：办公费、水费、电费、邮电费、差旅费、维修（护）费、会议费、培训费、专用材料费、劳务费、工会经费、福利费、其他商品和服务支出等。对个人和家庭的补助</w:t>
      </w:r>
      <w:r>
        <w:rPr>
          <w:rFonts w:ascii="仿宋_GB2312" w:eastAsia="仿宋_GB2312" w:hAnsi="仿宋" w:cs="Times New Roman" w:hint="eastAsia"/>
          <w:kern w:val="2"/>
          <w:sz w:val="32"/>
        </w:rPr>
        <w:t>2662.9</w:t>
      </w:r>
      <w:r>
        <w:rPr>
          <w:rFonts w:ascii="仿宋_GB2312" w:eastAsia="仿宋_GB2312" w:hAnsi="仿宋" w:hint="eastAsia"/>
          <w:sz w:val="32"/>
        </w:rPr>
        <w:t>万元，主要包括：离休</w:t>
      </w:r>
      <w:r>
        <w:rPr>
          <w:rFonts w:ascii="仿宋_GB2312" w:eastAsia="仿宋_GB2312" w:hAnsi="仿宋" w:hint="eastAsia"/>
          <w:sz w:val="32"/>
        </w:rPr>
        <w:lastRenderedPageBreak/>
        <w:t>费、退休费、生活补助、医疗费补助、助学金、其他对个人和家庭的补助等。</w:t>
      </w:r>
    </w:p>
    <w:p w:rsidR="00593B0F" w:rsidRDefault="00E31212">
      <w:pPr>
        <w:pStyle w:val="a5"/>
        <w:spacing w:before="0" w:beforeAutospacing="0" w:after="0" w:afterAutospacing="0"/>
        <w:ind w:firstLineChars="200" w:firstLine="640"/>
        <w:rPr>
          <w:rFonts w:ascii="黑体" w:eastAsia="黑体" w:hAnsi="仿宋"/>
          <w:sz w:val="32"/>
        </w:rPr>
      </w:pPr>
      <w:r>
        <w:rPr>
          <w:rFonts w:ascii="黑体" w:eastAsia="黑体" w:hAnsi="仿宋" w:hint="eastAsia"/>
          <w:sz w:val="32"/>
        </w:rPr>
        <w:t>四、关于2019年政府性基金预算拨款情况说明</w:t>
      </w:r>
    </w:p>
    <w:p w:rsidR="00593B0F" w:rsidRDefault="00E31212">
      <w:pPr>
        <w:pStyle w:val="a5"/>
        <w:spacing w:before="0" w:beforeAutospacing="0" w:after="0" w:afterAutospacing="0"/>
        <w:ind w:firstLineChars="200" w:firstLine="640"/>
        <w:rPr>
          <w:rFonts w:ascii="仿宋_GB2312" w:eastAsia="仿宋_GB2312" w:hAnsi="仿宋"/>
          <w:sz w:val="32"/>
        </w:rPr>
      </w:pPr>
      <w:r>
        <w:rPr>
          <w:rFonts w:ascii="仿宋_GB2312" w:eastAsia="仿宋_GB2312" w:hAnsi="仿宋" w:cs="Times New Roman" w:hint="eastAsia"/>
          <w:kern w:val="2"/>
          <w:sz w:val="32"/>
        </w:rPr>
        <w:t>安徽大学</w:t>
      </w:r>
      <w:r>
        <w:rPr>
          <w:rFonts w:ascii="仿宋_GB2312" w:eastAsia="仿宋_GB2312" w:hAnsi="仿宋" w:hint="eastAsia"/>
          <w:sz w:val="32"/>
        </w:rPr>
        <w:t>2019年没有政府性基金预算拨款收入，也没有使用政府性基金预算拨款安排的支出。</w:t>
      </w:r>
    </w:p>
    <w:p w:rsidR="00593B0F" w:rsidRDefault="00E31212">
      <w:pPr>
        <w:pStyle w:val="a5"/>
        <w:spacing w:before="0" w:beforeAutospacing="0" w:after="0" w:afterAutospacing="0"/>
        <w:ind w:firstLineChars="200" w:firstLine="640"/>
        <w:rPr>
          <w:rFonts w:ascii="黑体" w:eastAsia="黑体" w:hAnsi="仿宋"/>
          <w:sz w:val="32"/>
        </w:rPr>
      </w:pPr>
      <w:r>
        <w:rPr>
          <w:rFonts w:ascii="黑体" w:eastAsia="黑体" w:hAnsi="仿宋" w:hint="eastAsia"/>
          <w:sz w:val="32"/>
        </w:rPr>
        <w:t>五、关于2019年国有资本经营预算拨款情况说明</w:t>
      </w:r>
    </w:p>
    <w:p w:rsidR="00593B0F" w:rsidRDefault="00E31212">
      <w:pPr>
        <w:pStyle w:val="a5"/>
        <w:spacing w:before="0" w:beforeAutospacing="0" w:after="0" w:afterAutospacing="0"/>
        <w:ind w:firstLineChars="200" w:firstLine="640"/>
        <w:rPr>
          <w:rFonts w:ascii="仿宋_GB2312" w:eastAsia="仿宋_GB2312" w:hAnsi="仿宋"/>
          <w:sz w:val="32"/>
        </w:rPr>
      </w:pPr>
      <w:r>
        <w:rPr>
          <w:rFonts w:ascii="仿宋_GB2312" w:eastAsia="仿宋_GB2312" w:hAnsi="仿宋" w:cs="Times New Roman" w:hint="eastAsia"/>
          <w:kern w:val="2"/>
          <w:sz w:val="32"/>
        </w:rPr>
        <w:t>安徽大学</w:t>
      </w:r>
      <w:r>
        <w:rPr>
          <w:rFonts w:ascii="仿宋_GB2312" w:eastAsia="仿宋_GB2312" w:hAnsi="仿宋" w:hint="eastAsia"/>
          <w:sz w:val="32"/>
        </w:rPr>
        <w:t>2019年没有国有资本经营预算拨款收入，也没有使用国有资本经营预算拨款安排的支出。</w:t>
      </w:r>
    </w:p>
    <w:p w:rsidR="00593B0F" w:rsidRDefault="00E31212">
      <w:pPr>
        <w:pStyle w:val="a5"/>
        <w:spacing w:before="0" w:beforeAutospacing="0" w:after="0" w:afterAutospacing="0"/>
        <w:ind w:firstLineChars="200" w:firstLine="640"/>
        <w:rPr>
          <w:rFonts w:ascii="黑体" w:eastAsia="黑体" w:hAnsi="仿宋"/>
          <w:sz w:val="32"/>
        </w:rPr>
      </w:pPr>
      <w:r>
        <w:rPr>
          <w:rFonts w:ascii="黑体" w:eastAsia="黑体" w:hAnsi="仿宋" w:hint="eastAsia"/>
          <w:sz w:val="32"/>
        </w:rPr>
        <w:t>六、关于2019年收支预算总体情况说明</w:t>
      </w:r>
    </w:p>
    <w:p w:rsidR="00593B0F" w:rsidRDefault="00E31212">
      <w:pPr>
        <w:pStyle w:val="a5"/>
        <w:spacing w:before="0" w:beforeAutospacing="0" w:after="0" w:afterAutospacing="0"/>
        <w:ind w:firstLineChars="200" w:firstLine="640"/>
        <w:jc w:val="both"/>
        <w:rPr>
          <w:rFonts w:ascii="仿宋_GB2312" w:eastAsia="仿宋_GB2312" w:hAnsi="仿宋"/>
          <w:sz w:val="32"/>
          <w:u w:val="single"/>
        </w:rPr>
      </w:pPr>
      <w:r>
        <w:rPr>
          <w:rFonts w:ascii="仿宋_GB2312" w:eastAsia="仿宋_GB2312" w:hAnsi="仿宋" w:hint="eastAsia"/>
          <w:sz w:val="32"/>
        </w:rPr>
        <w:t>按照综合预算的原则，</w:t>
      </w:r>
      <w:r>
        <w:rPr>
          <w:rFonts w:ascii="仿宋_GB2312" w:eastAsia="仿宋_GB2312" w:hAnsi="仿宋" w:cs="Times New Roman" w:hint="eastAsia"/>
          <w:kern w:val="2"/>
          <w:sz w:val="32"/>
        </w:rPr>
        <w:t>安徽大学</w:t>
      </w:r>
      <w:r>
        <w:rPr>
          <w:rFonts w:ascii="仿宋_GB2312" w:eastAsia="仿宋_GB2312" w:hAnsi="仿宋" w:hint="eastAsia"/>
          <w:sz w:val="32"/>
        </w:rPr>
        <w:t>所有收入和支出均纳入部门预算管理。</w:t>
      </w:r>
      <w:r>
        <w:rPr>
          <w:rFonts w:ascii="仿宋_GB2312" w:eastAsia="仿宋_GB2312" w:hAnsi="仿宋" w:cs="Times New Roman" w:hint="eastAsia"/>
          <w:kern w:val="2"/>
          <w:sz w:val="32"/>
        </w:rPr>
        <w:t>安徽大学</w:t>
      </w:r>
      <w:r>
        <w:rPr>
          <w:rFonts w:ascii="仿宋_GB2312" w:eastAsia="仿宋_GB2312" w:hAnsi="仿宋" w:hint="eastAsia"/>
          <w:sz w:val="32"/>
        </w:rPr>
        <w:t>2019年收支总预算</w:t>
      </w:r>
      <w:r>
        <w:rPr>
          <w:rFonts w:ascii="仿宋_GB2312" w:eastAsia="仿宋_GB2312" w:hAnsi="仿宋" w:cs="Times New Roman" w:hint="eastAsia"/>
          <w:kern w:val="2"/>
          <w:sz w:val="32"/>
        </w:rPr>
        <w:t>78299</w:t>
      </w:r>
      <w:r>
        <w:rPr>
          <w:rFonts w:ascii="仿宋_GB2312" w:eastAsia="仿宋_GB2312" w:hAnsi="仿宋" w:hint="eastAsia"/>
          <w:sz w:val="32"/>
        </w:rPr>
        <w:t>万元，收入包括一般公共预算拨款收入、纳入专户管理政府非税收入、其他收入等，支出包括：教育支出、社会保障和就业支出、卫生健康支出、住房保障支出等。</w:t>
      </w:r>
    </w:p>
    <w:p w:rsidR="00593B0F" w:rsidRDefault="00E31212">
      <w:pPr>
        <w:pStyle w:val="a5"/>
        <w:spacing w:before="0" w:beforeAutospacing="0" w:after="0" w:afterAutospacing="0"/>
        <w:ind w:firstLineChars="200" w:firstLine="640"/>
        <w:rPr>
          <w:rFonts w:ascii="黑体" w:eastAsia="黑体" w:hAnsi="黑体"/>
          <w:sz w:val="32"/>
        </w:rPr>
      </w:pPr>
      <w:r>
        <w:rPr>
          <w:rFonts w:ascii="黑体" w:eastAsia="黑体" w:hAnsi="黑体" w:hint="eastAsia"/>
          <w:sz w:val="32"/>
        </w:rPr>
        <w:t>七、关于2019年收入预算情况说明</w:t>
      </w:r>
    </w:p>
    <w:p w:rsidR="00593B0F" w:rsidRDefault="00E31212">
      <w:pPr>
        <w:ind w:firstLineChars="200" w:firstLine="640"/>
        <w:rPr>
          <w:rFonts w:ascii="仿宋_GB2312" w:eastAsia="仿宋_GB2312" w:hAnsi="仿宋"/>
        </w:rPr>
      </w:pPr>
      <w:r>
        <w:rPr>
          <w:rFonts w:ascii="仿宋_GB2312" w:eastAsia="仿宋_GB2312" w:hAnsi="仿宋" w:hint="eastAsia"/>
        </w:rPr>
        <w:t>安徽大学2019年收入预算78299万元，其中：一般公共预算拨款收入32553.5万元，占41.6%，比2018年预算减少7935.2万元，下降19.6%，下降原因主要是退休人员养老金转由社保基金发放，不再安排退休人员退休费拨款；财政专户管理非税收入23392.5万元，占29.9%，比2018年预算增加1032.5万元，增长4.6%，增长原因主要是在校学生人数增加，学宿费收入增加；</w:t>
      </w:r>
      <w:r>
        <w:rPr>
          <w:rFonts w:ascii="仿宋_GB2312" w:eastAsia="仿宋_GB2312" w:hAnsi="仿宋" w:hint="eastAsia"/>
        </w:rPr>
        <w:lastRenderedPageBreak/>
        <w:t>其他收入22353万元，占28.5%，比2018年预算增加6343万元，增长39.6%，增长原因主要是</w:t>
      </w:r>
      <w:r>
        <w:rPr>
          <w:rFonts w:ascii="仿宋_GB2312" w:eastAsia="仿宋_GB2312" w:hAnsi="宋体" w:hint="eastAsia"/>
          <w:bCs/>
          <w:sz w:val="30"/>
          <w:szCs w:val="30"/>
        </w:rPr>
        <w:t>经营收入纳入预算，科研收入增加。</w:t>
      </w:r>
    </w:p>
    <w:p w:rsidR="00593B0F" w:rsidRDefault="00E31212">
      <w:pPr>
        <w:ind w:firstLineChars="200" w:firstLine="640"/>
        <w:rPr>
          <w:rFonts w:ascii="黑体" w:eastAsia="黑体" w:hAnsi="黑体"/>
        </w:rPr>
      </w:pPr>
      <w:r>
        <w:rPr>
          <w:rFonts w:ascii="黑体" w:eastAsia="黑体" w:hAnsi="黑体" w:hint="eastAsia"/>
        </w:rPr>
        <w:t>八、关于2019年支出预算情况说明</w:t>
      </w:r>
    </w:p>
    <w:p w:rsidR="00593B0F" w:rsidRDefault="00E31212">
      <w:pPr>
        <w:ind w:firstLineChars="200" w:firstLine="640"/>
        <w:rPr>
          <w:rFonts w:ascii="仿宋_GB2312" w:eastAsia="仿宋_GB2312" w:hAnsi="仿宋"/>
        </w:rPr>
      </w:pPr>
      <w:r>
        <w:rPr>
          <w:rFonts w:ascii="仿宋_GB2312" w:eastAsia="仿宋_GB2312" w:hAnsi="仿宋" w:hint="eastAsia"/>
        </w:rPr>
        <w:t>安徽大学2019年支出预算78299万元，比2018年预算减少559.7万元，下降0.7%，下降原因主要是退休人员养老金转由社保基金发放，不再安排退休人员退休费支出。其中，基本支出72185.9万元，占92.2%，主要用于保障机构日常运转、完成日常工作任务等；项目支出6113.1万元，占7.8%，主要用于完成年度专项工作任务等。</w:t>
      </w:r>
    </w:p>
    <w:p w:rsidR="00593B0F" w:rsidRDefault="00E31212">
      <w:pPr>
        <w:ind w:firstLineChars="200" w:firstLine="640"/>
        <w:rPr>
          <w:rFonts w:ascii="黑体" w:eastAsia="黑体" w:hAnsi="黑体"/>
        </w:rPr>
      </w:pPr>
      <w:r>
        <w:rPr>
          <w:rFonts w:ascii="黑体" w:eastAsia="黑体" w:hAnsi="黑体" w:hint="eastAsia"/>
        </w:rPr>
        <w:t>九、其他重要事项情况说明</w:t>
      </w:r>
    </w:p>
    <w:p w:rsidR="00593B0F" w:rsidRDefault="00E31212" w:rsidP="00F46DE3">
      <w:pPr>
        <w:spacing w:line="580" w:lineRule="exact"/>
        <w:ind w:firstLineChars="200" w:firstLine="640"/>
        <w:rPr>
          <w:rFonts w:ascii="仿宋_GB2312" w:eastAsia="仿宋_GB2312" w:hAnsi="楷体"/>
          <w:b/>
        </w:rPr>
      </w:pPr>
      <w:r>
        <w:rPr>
          <w:rFonts w:ascii="仿宋_GB2312" w:eastAsia="仿宋_GB2312" w:hAnsi="楷体" w:hint="eastAsia"/>
          <w:b/>
        </w:rPr>
        <w:t>（一）政府采购情况。</w:t>
      </w:r>
    </w:p>
    <w:p w:rsidR="00593B0F" w:rsidRDefault="00E31212">
      <w:pPr>
        <w:spacing w:line="580" w:lineRule="exact"/>
        <w:ind w:firstLineChars="200" w:firstLine="640"/>
        <w:rPr>
          <w:rFonts w:ascii="仿宋_GB2312" w:eastAsia="仿宋_GB2312" w:hAnsi="楷体"/>
        </w:rPr>
      </w:pPr>
      <w:r>
        <w:rPr>
          <w:rFonts w:ascii="仿宋_GB2312" w:eastAsia="仿宋_GB2312" w:hAnsi="仿宋" w:hint="eastAsia"/>
        </w:rPr>
        <w:t>安徽大学</w:t>
      </w:r>
      <w:r>
        <w:rPr>
          <w:rFonts w:ascii="仿宋_GB2312" w:eastAsia="仿宋_GB2312" w:hAnsi="楷体" w:hint="eastAsia"/>
        </w:rPr>
        <w:t>2019年政府采购预算总额</w:t>
      </w:r>
      <w:r>
        <w:rPr>
          <w:rFonts w:ascii="仿宋_GB2312" w:eastAsia="仿宋_GB2312" w:hAnsi="仿宋" w:hint="eastAsia"/>
        </w:rPr>
        <w:t>5806</w:t>
      </w:r>
      <w:r>
        <w:rPr>
          <w:rFonts w:ascii="仿宋_GB2312" w:eastAsia="仿宋_GB2312" w:hAnsi="楷体" w:hint="eastAsia"/>
        </w:rPr>
        <w:t>万元。其中：政府采购货物预算</w:t>
      </w:r>
      <w:r>
        <w:rPr>
          <w:rFonts w:ascii="仿宋_GB2312" w:eastAsia="仿宋_GB2312" w:hAnsi="仿宋" w:hint="eastAsia"/>
        </w:rPr>
        <w:t>2090</w:t>
      </w:r>
      <w:r>
        <w:rPr>
          <w:rFonts w:ascii="仿宋_GB2312" w:eastAsia="仿宋_GB2312" w:hAnsi="楷体" w:hint="eastAsia"/>
        </w:rPr>
        <w:t>万元，政府采购工程预算</w:t>
      </w:r>
      <w:r>
        <w:rPr>
          <w:rFonts w:ascii="仿宋_GB2312" w:eastAsia="仿宋_GB2312" w:hAnsi="仿宋" w:hint="eastAsia"/>
        </w:rPr>
        <w:t>2456</w:t>
      </w:r>
      <w:r>
        <w:rPr>
          <w:rFonts w:ascii="仿宋_GB2312" w:eastAsia="仿宋_GB2312" w:hAnsi="楷体" w:hint="eastAsia"/>
        </w:rPr>
        <w:t>万元，政府采购服务预算</w:t>
      </w:r>
      <w:r>
        <w:rPr>
          <w:rFonts w:ascii="仿宋_GB2312" w:eastAsia="仿宋_GB2312" w:hAnsi="仿宋" w:hint="eastAsia"/>
        </w:rPr>
        <w:t>1260</w:t>
      </w:r>
      <w:r>
        <w:rPr>
          <w:rFonts w:ascii="仿宋_GB2312" w:eastAsia="仿宋_GB2312" w:hAnsi="楷体" w:hint="eastAsia"/>
        </w:rPr>
        <w:t>万元。</w:t>
      </w:r>
    </w:p>
    <w:p w:rsidR="00593B0F" w:rsidRDefault="00E31212" w:rsidP="00F46DE3">
      <w:pPr>
        <w:spacing w:line="580" w:lineRule="exact"/>
        <w:ind w:firstLineChars="200" w:firstLine="640"/>
        <w:rPr>
          <w:rFonts w:ascii="仿宋_GB2312" w:eastAsia="仿宋_GB2312" w:hAnsi="楷体"/>
          <w:b/>
        </w:rPr>
      </w:pPr>
      <w:r>
        <w:rPr>
          <w:rFonts w:ascii="仿宋_GB2312" w:eastAsia="仿宋_GB2312" w:hAnsi="楷体" w:hint="eastAsia"/>
          <w:b/>
        </w:rPr>
        <w:t>（二）国有资产占有使用情况。</w:t>
      </w:r>
    </w:p>
    <w:p w:rsidR="00593B0F" w:rsidRDefault="00E31212">
      <w:pPr>
        <w:spacing w:line="580" w:lineRule="exact"/>
        <w:ind w:firstLineChars="200" w:firstLine="640"/>
        <w:rPr>
          <w:rFonts w:ascii="仿宋_GB2312" w:eastAsia="仿宋_GB2312" w:hAnsi="楷体"/>
          <w:color w:val="3366FF"/>
        </w:rPr>
      </w:pPr>
      <w:r>
        <w:rPr>
          <w:rFonts w:ascii="仿宋_GB2312" w:eastAsia="仿宋_GB2312" w:hAnsi="仿宋" w:hint="eastAsia"/>
        </w:rPr>
        <w:t>截至2018年底，安徽大学</w:t>
      </w:r>
      <w:r>
        <w:rPr>
          <w:rFonts w:ascii="仿宋_GB2312" w:eastAsia="仿宋_GB2312" w:hAnsi="楷体" w:hint="eastAsia"/>
        </w:rPr>
        <w:t>共有车辆</w:t>
      </w:r>
      <w:r>
        <w:rPr>
          <w:rFonts w:ascii="仿宋_GB2312" w:eastAsia="仿宋_GB2312" w:hAnsi="仿宋" w:hint="eastAsia"/>
        </w:rPr>
        <w:t>46</w:t>
      </w:r>
      <w:r>
        <w:rPr>
          <w:rFonts w:ascii="仿宋_GB2312" w:eastAsia="仿宋_GB2312" w:hAnsi="楷体" w:hint="eastAsia"/>
        </w:rPr>
        <w:t>辆，</w:t>
      </w:r>
      <w:r>
        <w:rPr>
          <w:rFonts w:ascii="仿宋_GB2312" w:eastAsia="仿宋_GB2312" w:hAnsi="仿宋" w:hint="eastAsia"/>
        </w:rPr>
        <w:t>其中：主要领导干部用车21辆、特种专业技术用车3辆、其他用车22辆。</w:t>
      </w:r>
      <w:r>
        <w:rPr>
          <w:rFonts w:ascii="仿宋_GB2312" w:eastAsia="仿宋_GB2312" w:hAnsi="楷体" w:hint="eastAsia"/>
        </w:rPr>
        <w:t>单位价值50万元以上的通用设备</w:t>
      </w:r>
      <w:r>
        <w:rPr>
          <w:rFonts w:ascii="仿宋_GB2312" w:eastAsia="仿宋_GB2312" w:hAnsi="仿宋" w:hint="eastAsia"/>
        </w:rPr>
        <w:t>171</w:t>
      </w:r>
      <w:r>
        <w:rPr>
          <w:rFonts w:ascii="仿宋_GB2312" w:eastAsia="仿宋_GB2312" w:hAnsi="楷体" w:hint="eastAsia"/>
        </w:rPr>
        <w:t>台（套），单位价值100万元以上的专用设备</w:t>
      </w:r>
      <w:r>
        <w:rPr>
          <w:rFonts w:ascii="仿宋_GB2312" w:eastAsia="仿宋_GB2312" w:hAnsi="仿宋" w:hint="eastAsia"/>
        </w:rPr>
        <w:t>5</w:t>
      </w:r>
      <w:r>
        <w:rPr>
          <w:rFonts w:ascii="仿宋_GB2312" w:eastAsia="仿宋_GB2312" w:hAnsi="楷体" w:hint="eastAsia"/>
        </w:rPr>
        <w:t>台（套）。</w:t>
      </w:r>
    </w:p>
    <w:p w:rsidR="00593B0F" w:rsidRDefault="00E31212">
      <w:pPr>
        <w:spacing w:line="580" w:lineRule="exact"/>
        <w:ind w:firstLineChars="200" w:firstLine="640"/>
        <w:rPr>
          <w:rFonts w:ascii="仿宋_GB2312" w:eastAsia="仿宋_GB2312" w:hAnsi="楷体"/>
        </w:rPr>
      </w:pPr>
      <w:r>
        <w:rPr>
          <w:rFonts w:ascii="仿宋_GB2312" w:eastAsia="仿宋_GB2312" w:hAnsi="楷体" w:hint="eastAsia"/>
        </w:rPr>
        <w:t>2019年部门预算安排购置公务用车</w:t>
      </w:r>
      <w:r>
        <w:rPr>
          <w:rFonts w:ascii="仿宋_GB2312" w:eastAsia="仿宋_GB2312" w:hAnsi="仿宋" w:hint="eastAsia"/>
        </w:rPr>
        <w:t>0</w:t>
      </w:r>
      <w:r>
        <w:rPr>
          <w:rFonts w:ascii="仿宋_GB2312" w:eastAsia="仿宋_GB2312" w:hAnsi="楷体" w:hint="eastAsia"/>
        </w:rPr>
        <w:t>辆，购置费</w:t>
      </w:r>
      <w:r>
        <w:rPr>
          <w:rFonts w:ascii="仿宋_GB2312" w:eastAsia="仿宋_GB2312" w:hAnsi="仿宋" w:hint="eastAsia"/>
        </w:rPr>
        <w:t>0</w:t>
      </w:r>
      <w:r>
        <w:rPr>
          <w:rFonts w:ascii="仿宋_GB2312" w:eastAsia="仿宋_GB2312" w:hAnsi="楷体" w:hint="eastAsia"/>
        </w:rPr>
        <w:t>万元；安排购置单位价值50万元以上的通用设备</w:t>
      </w:r>
      <w:r>
        <w:rPr>
          <w:rFonts w:ascii="仿宋_GB2312" w:eastAsia="仿宋_GB2312" w:hAnsi="仿宋" w:hint="eastAsia"/>
        </w:rPr>
        <w:t>0</w:t>
      </w:r>
      <w:r>
        <w:rPr>
          <w:rFonts w:ascii="仿宋_GB2312" w:eastAsia="仿宋_GB2312" w:hAnsi="楷体" w:hint="eastAsia"/>
        </w:rPr>
        <w:t>台（套），购置费</w:t>
      </w:r>
      <w:r>
        <w:rPr>
          <w:rFonts w:ascii="仿宋_GB2312" w:eastAsia="仿宋_GB2312" w:hAnsi="仿宋" w:hint="eastAsia"/>
        </w:rPr>
        <w:t>0</w:t>
      </w:r>
      <w:r>
        <w:rPr>
          <w:rFonts w:ascii="仿宋_GB2312" w:eastAsia="仿宋_GB2312" w:hAnsi="楷体" w:hint="eastAsia"/>
        </w:rPr>
        <w:t>万元；安排购置单位价值100万元以上专用设备</w:t>
      </w:r>
      <w:r>
        <w:rPr>
          <w:rFonts w:ascii="仿宋_GB2312" w:eastAsia="仿宋_GB2312" w:hAnsi="仿宋" w:hint="eastAsia"/>
        </w:rPr>
        <w:t>0</w:t>
      </w:r>
      <w:r>
        <w:rPr>
          <w:rFonts w:ascii="仿宋_GB2312" w:eastAsia="仿宋_GB2312" w:hAnsi="楷体" w:hint="eastAsia"/>
        </w:rPr>
        <w:t>台（套），购置费</w:t>
      </w:r>
      <w:r>
        <w:rPr>
          <w:rFonts w:ascii="仿宋_GB2312" w:eastAsia="仿宋_GB2312" w:hAnsi="仿宋" w:hint="eastAsia"/>
        </w:rPr>
        <w:lastRenderedPageBreak/>
        <w:t>0</w:t>
      </w:r>
      <w:r>
        <w:rPr>
          <w:rFonts w:ascii="仿宋_GB2312" w:eastAsia="仿宋_GB2312" w:hAnsi="楷体" w:hint="eastAsia"/>
        </w:rPr>
        <w:t>万元。</w:t>
      </w:r>
    </w:p>
    <w:p w:rsidR="00593B0F" w:rsidRDefault="00E31212" w:rsidP="00F46DE3">
      <w:pPr>
        <w:spacing w:line="580" w:lineRule="exact"/>
        <w:ind w:firstLineChars="200" w:firstLine="640"/>
        <w:rPr>
          <w:rFonts w:ascii="仿宋_GB2312" w:eastAsia="仿宋_GB2312" w:hAnsi="楷体"/>
          <w:b/>
        </w:rPr>
      </w:pPr>
      <w:r>
        <w:rPr>
          <w:rFonts w:ascii="仿宋_GB2312" w:eastAsia="仿宋_GB2312" w:hAnsi="楷体" w:hint="eastAsia"/>
          <w:b/>
        </w:rPr>
        <w:t>（三）绩效目标设置情况。</w:t>
      </w:r>
    </w:p>
    <w:p w:rsidR="00593B0F" w:rsidRDefault="00E31212">
      <w:pPr>
        <w:spacing w:line="580" w:lineRule="exact"/>
        <w:ind w:firstLineChars="200" w:firstLine="640"/>
        <w:outlineLvl w:val="0"/>
        <w:rPr>
          <w:rFonts w:ascii="仿宋_GB2312" w:eastAsia="仿宋_GB2312" w:hAnsi="仿宋"/>
        </w:rPr>
      </w:pPr>
      <w:r>
        <w:rPr>
          <w:rFonts w:ascii="仿宋_GB2312" w:eastAsia="仿宋_GB2312" w:hAnsi="仿宋" w:hint="eastAsia"/>
        </w:rPr>
        <w:t>2019年，安徽大学1个项目实行了绩效目标管理，涉及一般公共预算当年财政拨款6113.1万元。</w:t>
      </w:r>
    </w:p>
    <w:p w:rsidR="00593B0F" w:rsidRDefault="00E31212">
      <w:pPr>
        <w:jc w:val="center"/>
        <w:rPr>
          <w:rFonts w:ascii="黑体" w:eastAsia="黑体" w:cs="宋体"/>
          <w:sz w:val="36"/>
          <w:szCs w:val="36"/>
        </w:rPr>
      </w:pPr>
      <w:r>
        <w:rPr>
          <w:rFonts w:ascii="黑体" w:eastAsia="黑体" w:cs="宋体" w:hint="eastAsia"/>
          <w:sz w:val="36"/>
          <w:szCs w:val="36"/>
        </w:rPr>
        <w:br w:type="page"/>
      </w:r>
      <w:r>
        <w:rPr>
          <w:rFonts w:ascii="黑体" w:eastAsia="黑体" w:cs="宋体" w:hint="eastAsia"/>
          <w:sz w:val="36"/>
          <w:szCs w:val="36"/>
        </w:rPr>
        <w:lastRenderedPageBreak/>
        <w:t>第四部分 名词解释</w:t>
      </w:r>
    </w:p>
    <w:p w:rsidR="00593B0F" w:rsidRDefault="00593B0F">
      <w:pPr>
        <w:jc w:val="center"/>
        <w:rPr>
          <w:rFonts w:ascii="黑体" w:eastAsia="黑体" w:hAnsi="黑体"/>
        </w:rPr>
      </w:pPr>
    </w:p>
    <w:p w:rsidR="00593B0F" w:rsidRDefault="00E31212">
      <w:pPr>
        <w:ind w:firstLineChars="200" w:firstLine="640"/>
        <w:rPr>
          <w:rFonts w:ascii="仿宋_GB2312" w:eastAsia="仿宋_GB2312" w:hAnsi="仿宋"/>
        </w:rPr>
      </w:pPr>
      <w:r>
        <w:rPr>
          <w:rFonts w:ascii="黑体" w:eastAsia="黑体" w:hAnsi="仿宋" w:hint="eastAsia"/>
        </w:rPr>
        <w:t>一、财政拨款收入</w:t>
      </w:r>
      <w:r>
        <w:rPr>
          <w:rFonts w:ascii="仿宋_GB2312" w:eastAsia="仿宋_GB2312" w:hAnsi="仿宋" w:hint="eastAsia"/>
          <w:b/>
        </w:rPr>
        <w:t>：</w:t>
      </w:r>
      <w:proofErr w:type="gramStart"/>
      <w:r>
        <w:rPr>
          <w:rFonts w:ascii="仿宋_GB2312" w:eastAsia="仿宋_GB2312" w:hAnsi="仿宋" w:hint="eastAsia"/>
        </w:rPr>
        <w:t>指省财政</w:t>
      </w:r>
      <w:proofErr w:type="gramEnd"/>
      <w:r>
        <w:rPr>
          <w:rFonts w:ascii="仿宋_GB2312" w:eastAsia="仿宋_GB2312" w:hAnsi="仿宋" w:hint="eastAsia"/>
        </w:rPr>
        <w:t>当年拨付的资金，主要包括一般公共预算拨款收入、政府性基金预算拨款收入、国有资本经营预算拨款收入。</w:t>
      </w:r>
    </w:p>
    <w:p w:rsidR="00593B0F" w:rsidRDefault="00E31212">
      <w:pPr>
        <w:pStyle w:val="a5"/>
        <w:spacing w:before="0" w:beforeAutospacing="0" w:after="0" w:afterAutospacing="0"/>
        <w:ind w:firstLineChars="200" w:firstLine="640"/>
        <w:rPr>
          <w:rFonts w:ascii="仿宋_GB2312" w:eastAsia="仿宋_GB2312" w:hAnsi="仿宋" w:cs="Times New Roman"/>
          <w:kern w:val="2"/>
          <w:sz w:val="32"/>
        </w:rPr>
      </w:pPr>
      <w:r>
        <w:rPr>
          <w:rFonts w:ascii="黑体" w:eastAsia="黑体" w:hAnsi="黑体" w:hint="eastAsia"/>
          <w:sz w:val="32"/>
        </w:rPr>
        <w:t>二、财政专户管理非税收入：</w:t>
      </w:r>
      <w:r>
        <w:rPr>
          <w:rFonts w:ascii="仿宋_GB2312" w:eastAsia="仿宋_GB2312" w:hAnsi="仿宋" w:cs="Times New Roman" w:hint="eastAsia"/>
          <w:kern w:val="2"/>
          <w:sz w:val="32"/>
        </w:rPr>
        <w:t>指按照非税收入管理相关规定，纳入财政专户管理的教育收费等。</w:t>
      </w:r>
    </w:p>
    <w:p w:rsidR="00593B0F" w:rsidRDefault="00E31212">
      <w:pPr>
        <w:pStyle w:val="a5"/>
        <w:spacing w:before="0" w:beforeAutospacing="0" w:after="0" w:afterAutospacing="0"/>
        <w:ind w:firstLineChars="200" w:firstLine="640"/>
        <w:rPr>
          <w:rFonts w:ascii="仿宋_GB2312" w:eastAsia="仿宋_GB2312" w:hAnsi="仿宋" w:cs="Times New Roman"/>
          <w:kern w:val="2"/>
          <w:sz w:val="32"/>
        </w:rPr>
      </w:pPr>
      <w:r>
        <w:rPr>
          <w:rFonts w:ascii="黑体" w:eastAsia="黑体" w:hAnsi="黑体" w:hint="eastAsia"/>
          <w:sz w:val="32"/>
        </w:rPr>
        <w:t>三、其他收入：</w:t>
      </w:r>
      <w:r>
        <w:rPr>
          <w:rFonts w:ascii="仿宋_GB2312" w:eastAsia="仿宋_GB2312" w:hAnsi="仿宋" w:cs="Times New Roman" w:hint="eastAsia"/>
          <w:kern w:val="2"/>
          <w:sz w:val="32"/>
        </w:rPr>
        <w:t>指除了财政拨款收入、财政专户管理非</w:t>
      </w:r>
      <w:proofErr w:type="gramStart"/>
      <w:r>
        <w:rPr>
          <w:rFonts w:ascii="仿宋_GB2312" w:eastAsia="仿宋_GB2312" w:hAnsi="仿宋" w:cs="Times New Roman" w:hint="eastAsia"/>
          <w:kern w:val="2"/>
          <w:sz w:val="32"/>
        </w:rPr>
        <w:t>税收入等以外</w:t>
      </w:r>
      <w:proofErr w:type="gramEnd"/>
      <w:r>
        <w:rPr>
          <w:rFonts w:ascii="仿宋_GB2312" w:eastAsia="仿宋_GB2312" w:hAnsi="仿宋" w:cs="Times New Roman" w:hint="eastAsia"/>
          <w:kern w:val="2"/>
          <w:sz w:val="32"/>
        </w:rPr>
        <w:t>的收入。</w:t>
      </w:r>
    </w:p>
    <w:p w:rsidR="00593B0F" w:rsidRDefault="00E31212">
      <w:pPr>
        <w:pStyle w:val="a5"/>
        <w:spacing w:before="0" w:beforeAutospacing="0" w:after="0" w:afterAutospacing="0"/>
        <w:ind w:firstLineChars="200" w:firstLine="640"/>
        <w:rPr>
          <w:rFonts w:ascii="仿宋_GB2312" w:eastAsia="仿宋_GB2312" w:hAnsi="黑体"/>
          <w:sz w:val="32"/>
        </w:rPr>
      </w:pPr>
      <w:r>
        <w:rPr>
          <w:rFonts w:ascii="黑体" w:eastAsia="黑体" w:hAnsi="黑体" w:hint="eastAsia"/>
          <w:sz w:val="32"/>
        </w:rPr>
        <w:t>四、基本支出</w:t>
      </w:r>
      <w:r>
        <w:rPr>
          <w:rFonts w:ascii="仿宋_GB2312" w:eastAsia="仿宋_GB2312" w:hAnsi="黑体" w:hint="eastAsia"/>
          <w:b/>
          <w:sz w:val="32"/>
        </w:rPr>
        <w:t>：</w:t>
      </w:r>
      <w:r>
        <w:rPr>
          <w:rFonts w:ascii="仿宋_GB2312" w:eastAsia="仿宋_GB2312" w:hAnsi="黑体" w:hint="eastAsia"/>
          <w:sz w:val="32"/>
        </w:rPr>
        <w:t>指为保障机构正常运转、完成日常工作任务而发生的人员支出和公用支出。</w:t>
      </w:r>
    </w:p>
    <w:p w:rsidR="00593B0F" w:rsidRDefault="00E31212">
      <w:pPr>
        <w:pStyle w:val="a5"/>
        <w:spacing w:before="0" w:beforeAutospacing="0" w:after="0" w:afterAutospacing="0"/>
        <w:ind w:firstLineChars="200" w:firstLine="640"/>
        <w:jc w:val="both"/>
        <w:rPr>
          <w:rFonts w:ascii="仿宋_GB2312" w:eastAsia="仿宋_GB2312" w:hAnsi="黑体"/>
          <w:sz w:val="32"/>
        </w:rPr>
      </w:pPr>
      <w:r>
        <w:rPr>
          <w:rFonts w:ascii="黑体" w:eastAsia="黑体" w:hAnsi="黑体" w:hint="eastAsia"/>
          <w:sz w:val="32"/>
        </w:rPr>
        <w:t>五、项目支出</w:t>
      </w:r>
      <w:r>
        <w:rPr>
          <w:rFonts w:ascii="仿宋_GB2312" w:eastAsia="仿宋_GB2312" w:hAnsi="黑体" w:hint="eastAsia"/>
          <w:b/>
          <w:sz w:val="32"/>
        </w:rPr>
        <w:t>：</w:t>
      </w:r>
      <w:r>
        <w:rPr>
          <w:rFonts w:ascii="仿宋_GB2312" w:eastAsia="仿宋_GB2312" w:hAnsi="黑体" w:hint="eastAsia"/>
          <w:sz w:val="32"/>
        </w:rPr>
        <w:t>指在基本支出之外为完成特定行政任务和事业发展目标所发生的支出。</w:t>
      </w:r>
    </w:p>
    <w:p w:rsidR="00593B0F" w:rsidRDefault="00E31212">
      <w:pPr>
        <w:ind w:firstLineChars="200" w:firstLine="640"/>
        <w:rPr>
          <w:rFonts w:ascii="仿宋_GB2312" w:eastAsia="仿宋_GB2312" w:hAnsi="黑体" w:cs="宋体"/>
          <w:kern w:val="0"/>
        </w:rPr>
      </w:pPr>
      <w:r>
        <w:rPr>
          <w:rFonts w:ascii="黑体" w:eastAsia="黑体" w:hAnsi="黑体" w:cs="宋体" w:hint="eastAsia"/>
          <w:kern w:val="0"/>
        </w:rPr>
        <w:t>六、教育支出：</w:t>
      </w:r>
      <w:r>
        <w:rPr>
          <w:rFonts w:ascii="仿宋_GB2312" w:eastAsia="仿宋_GB2312" w:hAnsi="黑体" w:cs="宋体" w:hint="eastAsia"/>
          <w:kern w:val="0"/>
        </w:rPr>
        <w:t>反映政府教育事务支出。</w:t>
      </w:r>
    </w:p>
    <w:p w:rsidR="00593B0F" w:rsidRDefault="00E31212">
      <w:pPr>
        <w:ind w:firstLineChars="200" w:firstLine="640"/>
        <w:rPr>
          <w:rFonts w:ascii="仿宋_GB2312" w:eastAsia="仿宋_GB2312" w:hAnsi="黑体" w:cs="宋体"/>
          <w:kern w:val="0"/>
        </w:rPr>
      </w:pPr>
      <w:r>
        <w:rPr>
          <w:rFonts w:ascii="黑体" w:eastAsia="黑体" w:hAnsi="黑体" w:cs="宋体" w:hint="eastAsia"/>
          <w:kern w:val="0"/>
        </w:rPr>
        <w:t>七、社会保障和就业支出：</w:t>
      </w:r>
      <w:r>
        <w:rPr>
          <w:rFonts w:ascii="仿宋_GB2312" w:eastAsia="仿宋_GB2312" w:hAnsi="黑体" w:cs="宋体" w:hint="eastAsia"/>
          <w:kern w:val="0"/>
        </w:rPr>
        <w:t>反映政府在社会保障和就业方面的支出。</w:t>
      </w:r>
    </w:p>
    <w:p w:rsidR="00593B0F" w:rsidRDefault="00E31212">
      <w:pPr>
        <w:ind w:firstLineChars="200" w:firstLine="640"/>
        <w:rPr>
          <w:rFonts w:ascii="仿宋_GB2312" w:eastAsia="仿宋_GB2312" w:hAnsi="黑体" w:cs="宋体"/>
          <w:kern w:val="0"/>
        </w:rPr>
      </w:pPr>
      <w:r>
        <w:rPr>
          <w:rFonts w:ascii="黑体" w:eastAsia="黑体" w:hAnsi="黑体" w:cs="宋体" w:hint="eastAsia"/>
          <w:kern w:val="0"/>
        </w:rPr>
        <w:t>八、卫生健康支出：</w:t>
      </w:r>
      <w:r>
        <w:rPr>
          <w:rFonts w:ascii="仿宋_GB2312" w:eastAsia="仿宋_GB2312" w:hAnsi="黑体" w:cs="宋体" w:hint="eastAsia"/>
          <w:kern w:val="0"/>
        </w:rPr>
        <w:t>反映政府卫生健康方面的支出。</w:t>
      </w:r>
    </w:p>
    <w:p w:rsidR="00593B0F" w:rsidRDefault="00E31212">
      <w:pPr>
        <w:ind w:firstLineChars="200" w:firstLine="640"/>
        <w:rPr>
          <w:rFonts w:ascii="仿宋_GB2312" w:eastAsia="仿宋_GB2312" w:hAnsi="黑体" w:cs="宋体"/>
          <w:kern w:val="0"/>
        </w:rPr>
      </w:pPr>
      <w:r>
        <w:rPr>
          <w:rFonts w:ascii="黑体" w:eastAsia="黑体" w:hAnsi="黑体" w:cs="宋体" w:hint="eastAsia"/>
          <w:kern w:val="0"/>
        </w:rPr>
        <w:t>九、住房保障支出：</w:t>
      </w:r>
      <w:r>
        <w:rPr>
          <w:rFonts w:ascii="仿宋_GB2312" w:eastAsia="仿宋_GB2312" w:hAnsi="黑体" w:cs="宋体" w:hint="eastAsia"/>
          <w:kern w:val="0"/>
        </w:rPr>
        <w:t>集中反映政府用于住房方面的支出。</w:t>
      </w:r>
    </w:p>
    <w:p w:rsidR="00593B0F" w:rsidRDefault="00E31212">
      <w:pPr>
        <w:pStyle w:val="a5"/>
        <w:widowControl w:val="0"/>
        <w:spacing w:before="0" w:beforeAutospacing="0" w:after="0" w:afterAutospacing="0"/>
        <w:ind w:firstLineChars="200" w:firstLine="640"/>
        <w:rPr>
          <w:rFonts w:ascii="仿宋_GB2312" w:eastAsia="仿宋_GB2312"/>
          <w:sz w:val="32"/>
        </w:rPr>
      </w:pPr>
      <w:r>
        <w:rPr>
          <w:rFonts w:ascii="黑体" w:eastAsia="黑体" w:hAnsi="黑体" w:hint="eastAsia"/>
          <w:sz w:val="32"/>
        </w:rPr>
        <w:t>十、工资福利支出：</w:t>
      </w:r>
      <w:r>
        <w:rPr>
          <w:rFonts w:ascii="仿宋_GB2312" w:eastAsia="仿宋_GB2312" w:hint="eastAsia"/>
          <w:sz w:val="32"/>
        </w:rPr>
        <w:t>反映单位开支的在职职工和编制</w:t>
      </w:r>
      <w:proofErr w:type="gramStart"/>
      <w:r>
        <w:rPr>
          <w:rFonts w:ascii="仿宋_GB2312" w:eastAsia="仿宋_GB2312" w:hint="eastAsia"/>
          <w:sz w:val="32"/>
        </w:rPr>
        <w:t>外长期</w:t>
      </w:r>
      <w:proofErr w:type="gramEnd"/>
      <w:r>
        <w:rPr>
          <w:rFonts w:ascii="仿宋_GB2312" w:eastAsia="仿宋_GB2312" w:hint="eastAsia"/>
          <w:sz w:val="32"/>
        </w:rPr>
        <w:t>聘用人员的各类劳动报酬，以及为上述人员缴纳的各项社会保险费等。</w:t>
      </w:r>
    </w:p>
    <w:p w:rsidR="00593B0F" w:rsidRDefault="00E31212">
      <w:pPr>
        <w:pStyle w:val="a5"/>
        <w:widowControl w:val="0"/>
        <w:spacing w:before="0" w:beforeAutospacing="0" w:after="0" w:afterAutospacing="0"/>
        <w:ind w:firstLineChars="200" w:firstLine="640"/>
        <w:rPr>
          <w:rFonts w:ascii="仿宋_GB2312" w:eastAsia="仿宋_GB2312"/>
          <w:sz w:val="32"/>
        </w:rPr>
      </w:pPr>
      <w:r>
        <w:rPr>
          <w:rFonts w:ascii="黑体" w:eastAsia="黑体" w:hAnsi="黑体" w:hint="eastAsia"/>
          <w:sz w:val="32"/>
        </w:rPr>
        <w:lastRenderedPageBreak/>
        <w:t>十一、商品和服务支出：</w:t>
      </w:r>
      <w:r>
        <w:rPr>
          <w:rFonts w:ascii="仿宋_GB2312" w:eastAsia="仿宋_GB2312" w:hint="eastAsia"/>
          <w:sz w:val="32"/>
        </w:rPr>
        <w:t>反映单位购买商品和服务的支出，不包括用于购置固定资产、战略性和应急性物资储备等资本性支出。</w:t>
      </w:r>
    </w:p>
    <w:p w:rsidR="00593B0F" w:rsidRDefault="00E31212">
      <w:pPr>
        <w:pStyle w:val="a5"/>
        <w:widowControl w:val="0"/>
        <w:spacing w:before="0" w:beforeAutospacing="0" w:after="0" w:afterAutospacing="0"/>
        <w:ind w:firstLineChars="200" w:firstLine="640"/>
        <w:rPr>
          <w:rFonts w:ascii="仿宋_GB2312" w:eastAsia="仿宋_GB2312"/>
          <w:sz w:val="32"/>
        </w:rPr>
      </w:pPr>
      <w:r>
        <w:rPr>
          <w:rFonts w:ascii="黑体" w:eastAsia="黑体" w:hAnsi="黑体" w:hint="eastAsia"/>
          <w:sz w:val="32"/>
        </w:rPr>
        <w:t>十二、对个人和家庭的补助：</w:t>
      </w:r>
      <w:r>
        <w:rPr>
          <w:rFonts w:ascii="仿宋_GB2312" w:eastAsia="仿宋_GB2312" w:hint="eastAsia"/>
          <w:sz w:val="32"/>
        </w:rPr>
        <w:t>反映政府用于对个人和家庭的补助支出。</w:t>
      </w:r>
    </w:p>
    <w:p w:rsidR="00593B0F" w:rsidRDefault="00E31212">
      <w:pPr>
        <w:pStyle w:val="a5"/>
        <w:widowControl w:val="0"/>
        <w:spacing w:before="0" w:beforeAutospacing="0" w:after="0" w:afterAutospacing="0"/>
        <w:ind w:firstLineChars="200" w:firstLine="640"/>
        <w:rPr>
          <w:rFonts w:ascii="仿宋_GB2312" w:eastAsia="仿宋_GB2312" w:hAnsi="楷体"/>
          <w:b/>
          <w:sz w:val="32"/>
        </w:rPr>
      </w:pPr>
      <w:r>
        <w:rPr>
          <w:rFonts w:ascii="黑体" w:eastAsia="黑体" w:hAnsi="黑体" w:hint="eastAsia"/>
          <w:sz w:val="32"/>
        </w:rPr>
        <w:t>十三、资本性支出：</w:t>
      </w:r>
      <w:r>
        <w:rPr>
          <w:rFonts w:ascii="仿宋_GB2312" w:eastAsia="仿宋_GB2312" w:hint="eastAsia"/>
          <w:sz w:val="32"/>
        </w:rPr>
        <w:t>反映各单位安排的资本性支出。切块由发展改革部门安排的基本建设支出不在此科目反映。</w:t>
      </w:r>
    </w:p>
    <w:sectPr w:rsidR="00593B0F" w:rsidSect="00593B0F">
      <w:footerReference w:type="default" r:id="rId8"/>
      <w:pgSz w:w="11906" w:h="16838"/>
      <w:pgMar w:top="1984" w:right="1418" w:bottom="1587" w:left="1418"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AB1" w:rsidRDefault="006E0AB1" w:rsidP="00593B0F">
      <w:r>
        <w:separator/>
      </w:r>
    </w:p>
  </w:endnote>
  <w:endnote w:type="continuationSeparator" w:id="0">
    <w:p w:rsidR="006E0AB1" w:rsidRDefault="006E0AB1" w:rsidP="00593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B0F" w:rsidRDefault="0060356A">
    <w:pPr>
      <w:pStyle w:val="a3"/>
      <w:jc w:val="center"/>
    </w:pPr>
    <w:r>
      <w:rPr>
        <w:rFonts w:ascii="仿宋_GB2312" w:eastAsia="仿宋_GB2312" w:hAnsi="仿宋_GB2312" w:cs="仿宋_GB2312" w:hint="eastAsia"/>
        <w:sz w:val="32"/>
        <w:szCs w:val="32"/>
      </w:rPr>
      <w:fldChar w:fldCharType="begin"/>
    </w:r>
    <w:r w:rsidR="00E31212">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F46DE3" w:rsidRPr="00F46DE3">
      <w:rPr>
        <w:rFonts w:ascii="仿宋_GB2312" w:eastAsia="仿宋_GB2312" w:hAnsi="仿宋_GB2312" w:cs="仿宋_GB2312"/>
        <w:noProof/>
        <w:sz w:val="32"/>
        <w:szCs w:val="32"/>
        <w:lang w:val="zh-CN"/>
      </w:rPr>
      <w:t>11</w:t>
    </w:r>
    <w:r>
      <w:rPr>
        <w:rFonts w:ascii="仿宋_GB2312" w:eastAsia="仿宋_GB2312" w:hAnsi="仿宋_GB2312" w:cs="仿宋_GB2312" w:hint="eastAsia"/>
        <w:sz w:val="32"/>
        <w:szCs w:val="3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B0F" w:rsidRDefault="0060356A">
    <w:pPr>
      <w:pStyle w:val="a3"/>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fldChar w:fldCharType="begin"/>
    </w:r>
    <w:r w:rsidR="00E31212">
      <w:rPr>
        <w:rFonts w:ascii="仿宋_GB2312" w:eastAsia="仿宋_GB2312" w:hAnsi="仿宋_GB2312" w:cs="仿宋_GB2312" w:hint="eastAsia"/>
        <w:sz w:val="32"/>
        <w:szCs w:val="32"/>
      </w:rPr>
      <w:instrText xml:space="preserve"> PAGE   \* MERGEFORMAT </w:instrText>
    </w:r>
    <w:r>
      <w:rPr>
        <w:rFonts w:ascii="仿宋_GB2312" w:eastAsia="仿宋_GB2312" w:hAnsi="仿宋_GB2312" w:cs="仿宋_GB2312" w:hint="eastAsia"/>
        <w:sz w:val="32"/>
        <w:szCs w:val="32"/>
      </w:rPr>
      <w:fldChar w:fldCharType="separate"/>
    </w:r>
    <w:r w:rsidR="00F46DE3" w:rsidRPr="00F46DE3">
      <w:rPr>
        <w:rFonts w:ascii="仿宋_GB2312" w:eastAsia="仿宋_GB2312" w:hAnsi="仿宋_GB2312" w:cs="仿宋_GB2312"/>
        <w:noProof/>
        <w:sz w:val="32"/>
        <w:szCs w:val="32"/>
        <w:lang w:val="zh-CN"/>
      </w:rPr>
      <w:t>20</w:t>
    </w:r>
    <w:r>
      <w:rPr>
        <w:rFonts w:ascii="仿宋_GB2312" w:eastAsia="仿宋_GB2312" w:hAnsi="仿宋_GB2312" w:cs="仿宋_GB2312" w:hint="eastAsia"/>
        <w:sz w:val="32"/>
        <w:szCs w:val="3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AB1" w:rsidRDefault="006E0AB1" w:rsidP="00593B0F">
      <w:r>
        <w:separator/>
      </w:r>
    </w:p>
  </w:footnote>
  <w:footnote w:type="continuationSeparator" w:id="0">
    <w:p w:rsidR="006E0AB1" w:rsidRDefault="006E0AB1" w:rsidP="00593B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21"/>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61B47"/>
    <w:rsid w:val="000940A0"/>
    <w:rsid w:val="0012052C"/>
    <w:rsid w:val="00134FC8"/>
    <w:rsid w:val="001551E5"/>
    <w:rsid w:val="002638E6"/>
    <w:rsid w:val="003215BE"/>
    <w:rsid w:val="004063B0"/>
    <w:rsid w:val="00511738"/>
    <w:rsid w:val="0052258C"/>
    <w:rsid w:val="00532153"/>
    <w:rsid w:val="00593B0F"/>
    <w:rsid w:val="0060356A"/>
    <w:rsid w:val="00630074"/>
    <w:rsid w:val="00635C50"/>
    <w:rsid w:val="006E0AB1"/>
    <w:rsid w:val="006E4BBC"/>
    <w:rsid w:val="006F3B41"/>
    <w:rsid w:val="007A16CA"/>
    <w:rsid w:val="00860781"/>
    <w:rsid w:val="00876353"/>
    <w:rsid w:val="00886887"/>
    <w:rsid w:val="00905CBF"/>
    <w:rsid w:val="009464B3"/>
    <w:rsid w:val="009A1C5F"/>
    <w:rsid w:val="00A03143"/>
    <w:rsid w:val="00CA6958"/>
    <w:rsid w:val="00D80F65"/>
    <w:rsid w:val="00D81199"/>
    <w:rsid w:val="00E12BCE"/>
    <w:rsid w:val="00E31212"/>
    <w:rsid w:val="00E61B47"/>
    <w:rsid w:val="00EC024A"/>
    <w:rsid w:val="00F20FC1"/>
    <w:rsid w:val="00F218E2"/>
    <w:rsid w:val="00F46DE3"/>
    <w:rsid w:val="00FB6AC1"/>
    <w:rsid w:val="04DF3C4E"/>
    <w:rsid w:val="060D35A6"/>
    <w:rsid w:val="077D709D"/>
    <w:rsid w:val="0821741B"/>
    <w:rsid w:val="08D520F4"/>
    <w:rsid w:val="0BB80D39"/>
    <w:rsid w:val="0EF17F3B"/>
    <w:rsid w:val="121138D2"/>
    <w:rsid w:val="1B834537"/>
    <w:rsid w:val="1DF23744"/>
    <w:rsid w:val="1FA85442"/>
    <w:rsid w:val="23EA56CE"/>
    <w:rsid w:val="2C100D6A"/>
    <w:rsid w:val="3098194E"/>
    <w:rsid w:val="31C13C42"/>
    <w:rsid w:val="344B0B6D"/>
    <w:rsid w:val="38EF7E66"/>
    <w:rsid w:val="3ADF2879"/>
    <w:rsid w:val="3E1A0A72"/>
    <w:rsid w:val="3ECE3F21"/>
    <w:rsid w:val="41EA6969"/>
    <w:rsid w:val="479D71B2"/>
    <w:rsid w:val="48D25DE9"/>
    <w:rsid w:val="4A3E0E7A"/>
    <w:rsid w:val="4C9C6561"/>
    <w:rsid w:val="4DB82449"/>
    <w:rsid w:val="4DE664E0"/>
    <w:rsid w:val="4DF2280C"/>
    <w:rsid w:val="4F253E8E"/>
    <w:rsid w:val="4F624781"/>
    <w:rsid w:val="500301F6"/>
    <w:rsid w:val="52794B54"/>
    <w:rsid w:val="530F210A"/>
    <w:rsid w:val="53E17192"/>
    <w:rsid w:val="54A63539"/>
    <w:rsid w:val="556F2395"/>
    <w:rsid w:val="562B67E1"/>
    <w:rsid w:val="56D45B80"/>
    <w:rsid w:val="593D2643"/>
    <w:rsid w:val="5A0F5D0F"/>
    <w:rsid w:val="5A173DED"/>
    <w:rsid w:val="5B5513E8"/>
    <w:rsid w:val="5E0E482B"/>
    <w:rsid w:val="5E3856A0"/>
    <w:rsid w:val="5E4406CC"/>
    <w:rsid w:val="6467511F"/>
    <w:rsid w:val="64BC285E"/>
    <w:rsid w:val="64EE7996"/>
    <w:rsid w:val="6D1B1016"/>
    <w:rsid w:val="6E0614E3"/>
    <w:rsid w:val="6FB04582"/>
    <w:rsid w:val="725B5BA2"/>
    <w:rsid w:val="73DE10AA"/>
    <w:rsid w:val="75506BAC"/>
    <w:rsid w:val="7C7B5B86"/>
    <w:rsid w:val="7CC760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0F"/>
    <w:pPr>
      <w:widowControl w:val="0"/>
      <w:jc w:val="both"/>
    </w:pPr>
    <w:rPr>
      <w:rFonts w:eastAsia="仿宋"/>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593B0F"/>
    <w:pPr>
      <w:tabs>
        <w:tab w:val="center" w:pos="4153"/>
        <w:tab w:val="right" w:pos="8306"/>
      </w:tabs>
      <w:snapToGrid w:val="0"/>
      <w:jc w:val="left"/>
    </w:pPr>
    <w:rPr>
      <w:sz w:val="18"/>
      <w:szCs w:val="18"/>
    </w:rPr>
  </w:style>
  <w:style w:type="paragraph" w:styleId="a4">
    <w:name w:val="header"/>
    <w:basedOn w:val="a"/>
    <w:link w:val="Char"/>
    <w:uiPriority w:val="99"/>
    <w:semiHidden/>
    <w:unhideWhenUsed/>
    <w:rsid w:val="00593B0F"/>
    <w:pPr>
      <w:pBdr>
        <w:bottom w:val="single" w:sz="6" w:space="1" w:color="auto"/>
      </w:pBdr>
      <w:tabs>
        <w:tab w:val="center" w:pos="4153"/>
        <w:tab w:val="right" w:pos="8306"/>
      </w:tabs>
      <w:snapToGrid w:val="0"/>
      <w:jc w:val="center"/>
    </w:pPr>
    <w:rPr>
      <w:sz w:val="18"/>
      <w:szCs w:val="18"/>
    </w:rPr>
  </w:style>
  <w:style w:type="paragraph" w:styleId="a5">
    <w:name w:val="Normal (Web)"/>
    <w:basedOn w:val="a"/>
    <w:unhideWhenUsed/>
    <w:qFormat/>
    <w:rsid w:val="00593B0F"/>
    <w:pPr>
      <w:widowControl/>
      <w:spacing w:before="100" w:beforeAutospacing="1" w:after="100" w:afterAutospacing="1"/>
      <w:jc w:val="left"/>
    </w:pPr>
    <w:rPr>
      <w:rFonts w:ascii="宋体" w:hAnsi="宋体" w:cs="宋体"/>
      <w:kern w:val="0"/>
      <w:sz w:val="24"/>
    </w:rPr>
  </w:style>
  <w:style w:type="character" w:styleId="a6">
    <w:name w:val="Strong"/>
    <w:qFormat/>
    <w:rsid w:val="00593B0F"/>
    <w:rPr>
      <w:rFonts w:cs="Times New Roman"/>
      <w:b/>
    </w:rPr>
  </w:style>
  <w:style w:type="character" w:styleId="a7">
    <w:name w:val="Hyperlink"/>
    <w:basedOn w:val="a0"/>
    <w:uiPriority w:val="99"/>
    <w:unhideWhenUsed/>
    <w:qFormat/>
    <w:rsid w:val="00593B0F"/>
    <w:rPr>
      <w:color w:val="0000FF"/>
      <w:u w:val="single"/>
    </w:rPr>
  </w:style>
  <w:style w:type="character" w:customStyle="1" w:styleId="Char">
    <w:name w:val="页眉 Char"/>
    <w:basedOn w:val="a0"/>
    <w:link w:val="a4"/>
    <w:uiPriority w:val="99"/>
    <w:semiHidden/>
    <w:rsid w:val="00593B0F"/>
    <w:rPr>
      <w:rFonts w:eastAsia="仿宋"/>
      <w:kern w:val="2"/>
      <w:sz w:val="18"/>
      <w:szCs w:val="18"/>
    </w:rPr>
  </w:style>
  <w:style w:type="paragraph" w:styleId="a8">
    <w:name w:val="List Paragraph"/>
    <w:basedOn w:val="a"/>
    <w:uiPriority w:val="99"/>
    <w:unhideWhenUsed/>
    <w:rsid w:val="00593B0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1415</Words>
  <Characters>8067</Characters>
  <Application>Microsoft Office Word</Application>
  <DocSecurity>0</DocSecurity>
  <Lines>67</Lines>
  <Paragraphs>18</Paragraphs>
  <ScaleCrop>false</ScaleCrop>
  <Company>sjw</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姚忠</dc:creator>
  <cp:lastModifiedBy>王超</cp:lastModifiedBy>
  <cp:revision>17</cp:revision>
  <cp:lastPrinted>2019-04-04T08:52:00Z</cp:lastPrinted>
  <dcterms:created xsi:type="dcterms:W3CDTF">2017-01-10T09:27:00Z</dcterms:created>
  <dcterms:modified xsi:type="dcterms:W3CDTF">2019-04-28T01:57:00Z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